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 w:val="right" w:leader="none" w:pos="8478"/>
        </w:tabs>
        <w:jc w:val="righ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 w:val="right" w:leader="none" w:pos="8478"/>
        </w:tabs>
        <w:jc w:val="righ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3">
      <w:pPr>
        <w:tabs>
          <w:tab w:val="center" w:leader="none" w:pos="4252"/>
          <w:tab w:val="right" w:leader="none" w:pos="8504"/>
          <w:tab w:val="right" w:leader="none" w:pos="8478"/>
        </w:tabs>
        <w:jc w:val="righ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4">
      <w:pPr>
        <w:ind w:left="-567" w:right="-433" w:firstLine="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5">
      <w:pPr>
        <w:ind w:left="-567" w:right="-433" w:firstLine="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6">
      <w:pPr>
        <w:ind w:left="-567" w:right="-433" w:firstLine="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7">
      <w:pPr>
        <w:ind w:left="-426" w:right="-433"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Allurity acquires two new cybersecurity companies and</w:t>
      </w:r>
    </w:p>
    <w:p w:rsidR="00000000" w:rsidDel="00000000" w:rsidP="00000000" w:rsidRDefault="00000000" w:rsidRPr="00000000" w14:paraId="00000008">
      <w:pPr>
        <w:ind w:left="-426" w:right="-433"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advances its goal of becoming a European cybersecurity giant</w:t>
      </w:r>
    </w:p>
    <w:p w:rsidR="00000000" w:rsidDel="00000000" w:rsidP="00000000" w:rsidRDefault="00000000" w:rsidRPr="00000000" w14:paraId="00000009">
      <w:pPr>
        <w:ind w:left="-426" w:right="-433"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ind w:left="-426" w:right="-433"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B">
      <w:pPr>
        <w:ind w:left="-426" w:right="-433"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C">
      <w:pPr>
        <w:numPr>
          <w:ilvl w:val="0"/>
          <w:numId w:val="1"/>
        </w:numPr>
        <w:ind w:left="283.46456692913375" w:right="-409.133858267715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two acquisitions are the Portuguese company CloudComputing and the Swiss company Securix</w:t>
      </w:r>
    </w:p>
    <w:p w:rsidR="00000000" w:rsidDel="00000000" w:rsidP="00000000" w:rsidRDefault="00000000" w:rsidRPr="00000000" w14:paraId="0000000D">
      <w:pPr>
        <w:ind w:left="283.46456692913375" w:right="-409.1338582677156"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ind w:left="283.46456692913375" w:right="-409.1338582677156"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0"/>
          <w:numId w:val="1"/>
        </w:numPr>
        <w:ind w:left="283.46456692913375" w:right="-409.133858267715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 these two new additions, Allurity strengthens its position in southern and central Europe where it is executing its growth strategy</w:t>
      </w:r>
    </w:p>
    <w:p w:rsidR="00000000" w:rsidDel="00000000" w:rsidP="00000000" w:rsidRDefault="00000000" w:rsidRPr="00000000" w14:paraId="00000010">
      <w:pPr>
        <w:ind w:left="283.46456692913375" w:right="-409.133858267715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ind w:left="-426" w:right="-433"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u w:val="single"/>
          <w:rtl w:val="0"/>
        </w:rPr>
        <w:t xml:space="preserve">Madrid,18 April 2023.-</w:t>
      </w:r>
      <w:r w:rsidDel="00000000" w:rsidR="00000000" w:rsidRPr="00000000">
        <w:rPr>
          <w:rFonts w:ascii="Verdana" w:cs="Verdana" w:eastAsia="Verdana" w:hAnsi="Verdana"/>
          <w:sz w:val="20"/>
          <w:szCs w:val="20"/>
          <w:highlight w:val="white"/>
          <w:rtl w:val="0"/>
        </w:rPr>
        <w:t xml:space="preserve"> European cybersecurity services provider Allurity has closed the acquisition of two new cybersecurity companies, taking a major step towards reaching its goal of becoming a European cybersecurity giant and being able to compete on a level playing field with other conglomerates in the US and China. </w:t>
      </w:r>
    </w:p>
    <w:p w:rsidR="00000000" w:rsidDel="00000000" w:rsidP="00000000" w:rsidRDefault="00000000" w:rsidRPr="00000000" w14:paraId="00000014">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5">
      <w:pPr>
        <w:ind w:left="-426" w:right="-433"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The two companies that have been acquired are Portugal's CloudComputing and the Swiss company Securix. The former brings a complete and robust offering in identity, zero trust and information security. The latter adds substantial reinforcement in the areas of identity security, observability and consultancy. </w:t>
      </w:r>
    </w:p>
    <w:p w:rsidR="00000000" w:rsidDel="00000000" w:rsidP="00000000" w:rsidRDefault="00000000" w:rsidRPr="00000000" w14:paraId="00000016">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7">
      <w:pPr>
        <w:ind w:left="-426" w:right="-433"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Both companies become part of a decentralised structure, retaining their operational independence, brand, identity and culture, while leveraging the scale and synergies of the group.</w:t>
      </w:r>
    </w:p>
    <w:p w:rsidR="00000000" w:rsidDel="00000000" w:rsidP="00000000" w:rsidRDefault="00000000" w:rsidRPr="00000000" w14:paraId="00000018">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9">
      <w:pPr>
        <w:ind w:left="-426" w:right="-433"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With these acquisitions, Allurity is giving a strong boost to its growth strategy in key markets. Specifically those located in southern Europe, with the company in Portugal, and in central and northern Europe with the company located in Switzerland. There is also a clear ambition to expand to Belgium and the Netherlands.</w:t>
      </w:r>
    </w:p>
    <w:p w:rsidR="00000000" w:rsidDel="00000000" w:rsidP="00000000" w:rsidRDefault="00000000" w:rsidRPr="00000000" w14:paraId="0000001A">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B">
      <w:pPr>
        <w:ind w:left="-426" w:right="-433"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The group has been acquiring other cybersecurity companies during the last year in order to reach the position of being the preferred partner for these services in Europe. In addition to these two companies, the Allurity group already include Swedish Arctic Group, ID North and Pulsen IAM, Danish CSIS and Spanish Aiuken Cybersecurity, making a total of seven companies, with more to come. </w:t>
      </w:r>
    </w:p>
    <w:p w:rsidR="00000000" w:rsidDel="00000000" w:rsidP="00000000" w:rsidRDefault="00000000" w:rsidRPr="00000000" w14:paraId="0000001C">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D">
      <w:pPr>
        <w:ind w:left="-426" w:right="-433" w:firstLine="0"/>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Expanding the range of services</w:t>
      </w:r>
    </w:p>
    <w:p w:rsidR="00000000" w:rsidDel="00000000" w:rsidP="00000000" w:rsidRDefault="00000000" w:rsidRPr="00000000" w14:paraId="0000001E">
      <w:pPr>
        <w:ind w:left="-426" w:right="-433"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1F">
      <w:pPr>
        <w:ind w:left="-426" w:right="-433" w:firstLine="0"/>
        <w:jc w:val="both"/>
        <w:rPr>
          <w:rFonts w:ascii="Verdana" w:cs="Verdana" w:eastAsia="Verdana" w:hAnsi="Verdana"/>
          <w:sz w:val="20"/>
          <w:szCs w:val="20"/>
          <w:highlight w:val="white"/>
        </w:rPr>
      </w:pPr>
      <w:bookmarkStart w:colFirst="0" w:colLast="0" w:name="_heading=h.5mljtmq1oso0" w:id="0"/>
      <w:bookmarkEnd w:id="0"/>
      <w:r w:rsidDel="00000000" w:rsidR="00000000" w:rsidRPr="00000000">
        <w:rPr>
          <w:rFonts w:ascii="Verdana" w:cs="Verdana" w:eastAsia="Verdana" w:hAnsi="Verdana"/>
          <w:sz w:val="20"/>
          <w:szCs w:val="20"/>
          <w:highlight w:val="white"/>
          <w:rtl w:val="0"/>
        </w:rPr>
        <w:t xml:space="preserve">CloudComputing was founded in 2010 and since then supports various customers in both the public and private sector and manages more than 10 million identities in Europe and America, as well as covering other fields such as identity and access management, zero-trust journeys, digital workspace and mobile security.</w:t>
      </w:r>
    </w:p>
    <w:p w:rsidR="00000000" w:rsidDel="00000000" w:rsidP="00000000" w:rsidRDefault="00000000" w:rsidRPr="00000000" w14:paraId="00000020">
      <w:pPr>
        <w:ind w:left="-426" w:right="-433" w:firstLine="0"/>
        <w:jc w:val="both"/>
        <w:rPr>
          <w:rFonts w:ascii="Verdana" w:cs="Verdana" w:eastAsia="Verdana" w:hAnsi="Verdana"/>
          <w:sz w:val="20"/>
          <w:szCs w:val="20"/>
          <w:highlight w:val="white"/>
        </w:rPr>
      </w:pPr>
      <w:bookmarkStart w:colFirst="0" w:colLast="0" w:name="_heading=h.42bc3bigxmyc" w:id="1"/>
      <w:bookmarkEnd w:id="1"/>
      <w:r w:rsidDel="00000000" w:rsidR="00000000" w:rsidRPr="00000000">
        <w:rPr>
          <w:rtl w:val="0"/>
        </w:rPr>
      </w:r>
    </w:p>
    <w:p w:rsidR="00000000" w:rsidDel="00000000" w:rsidP="00000000" w:rsidRDefault="00000000" w:rsidRPr="00000000" w14:paraId="00000021">
      <w:pPr>
        <w:ind w:left="-426" w:right="-433" w:firstLine="0"/>
        <w:jc w:val="both"/>
        <w:rPr>
          <w:rFonts w:ascii="Verdana" w:cs="Verdana" w:eastAsia="Verdana" w:hAnsi="Verdana"/>
          <w:sz w:val="20"/>
          <w:szCs w:val="20"/>
          <w:highlight w:val="white"/>
        </w:rPr>
      </w:pPr>
      <w:bookmarkStart w:colFirst="0" w:colLast="0" w:name="_heading=h.px5igw13hf87" w:id="2"/>
      <w:bookmarkEnd w:id="2"/>
      <w:r w:rsidDel="00000000" w:rsidR="00000000" w:rsidRPr="00000000">
        <w:rPr>
          <w:rtl w:val="0"/>
        </w:rPr>
      </w:r>
    </w:p>
    <w:p w:rsidR="00000000" w:rsidDel="00000000" w:rsidP="00000000" w:rsidRDefault="00000000" w:rsidRPr="00000000" w14:paraId="00000022">
      <w:pPr>
        <w:ind w:left="-426" w:right="-433" w:firstLine="0"/>
        <w:jc w:val="both"/>
        <w:rPr>
          <w:rFonts w:ascii="Verdana" w:cs="Verdana" w:eastAsia="Verdana" w:hAnsi="Verdana"/>
          <w:sz w:val="20"/>
          <w:szCs w:val="20"/>
          <w:highlight w:val="white"/>
        </w:rPr>
      </w:pPr>
      <w:bookmarkStart w:colFirst="0" w:colLast="0" w:name="_heading=h.zh9128bd2iy2" w:id="3"/>
      <w:bookmarkEnd w:id="3"/>
      <w:r w:rsidDel="00000000" w:rsidR="00000000" w:rsidRPr="00000000">
        <w:rPr>
          <w:rtl w:val="0"/>
        </w:rPr>
      </w:r>
    </w:p>
    <w:p w:rsidR="00000000" w:rsidDel="00000000" w:rsidP="00000000" w:rsidRDefault="00000000" w:rsidRPr="00000000" w14:paraId="00000023">
      <w:pPr>
        <w:ind w:left="-426" w:right="-433" w:firstLine="0"/>
        <w:jc w:val="both"/>
        <w:rPr>
          <w:rFonts w:ascii="Verdana" w:cs="Verdana" w:eastAsia="Verdana" w:hAnsi="Verdana"/>
          <w:sz w:val="20"/>
          <w:szCs w:val="20"/>
          <w:highlight w:val="white"/>
        </w:rPr>
      </w:pPr>
      <w:bookmarkStart w:colFirst="0" w:colLast="0" w:name="_heading=h.e8j1ixyrluhi" w:id="4"/>
      <w:bookmarkEnd w:id="4"/>
      <w:r w:rsidDel="00000000" w:rsidR="00000000" w:rsidRPr="00000000">
        <w:rPr>
          <w:rtl w:val="0"/>
        </w:rPr>
      </w:r>
    </w:p>
    <w:p w:rsidR="00000000" w:rsidDel="00000000" w:rsidP="00000000" w:rsidRDefault="00000000" w:rsidRPr="00000000" w14:paraId="00000024">
      <w:pPr>
        <w:ind w:left="-426" w:right="-433" w:firstLine="0"/>
        <w:jc w:val="both"/>
        <w:rPr>
          <w:rFonts w:ascii="Verdana" w:cs="Verdana" w:eastAsia="Verdana" w:hAnsi="Verdana"/>
          <w:sz w:val="20"/>
          <w:szCs w:val="20"/>
          <w:highlight w:val="white"/>
        </w:rPr>
      </w:pPr>
      <w:bookmarkStart w:colFirst="0" w:colLast="0" w:name="_heading=h.okv46ihv89ye" w:id="5"/>
      <w:bookmarkEnd w:id="5"/>
      <w:r w:rsidDel="00000000" w:rsidR="00000000" w:rsidRPr="00000000">
        <w:rPr>
          <w:rtl w:val="0"/>
        </w:rPr>
      </w:r>
    </w:p>
    <w:p w:rsidR="00000000" w:rsidDel="00000000" w:rsidP="00000000" w:rsidRDefault="00000000" w:rsidRPr="00000000" w14:paraId="00000025">
      <w:pPr>
        <w:ind w:left="-426" w:right="-433" w:firstLine="0"/>
        <w:jc w:val="both"/>
        <w:rPr>
          <w:rFonts w:ascii="Verdana" w:cs="Verdana" w:eastAsia="Verdana" w:hAnsi="Verdana"/>
          <w:sz w:val="20"/>
          <w:szCs w:val="20"/>
          <w:highlight w:val="white"/>
        </w:rPr>
      </w:pPr>
      <w:bookmarkStart w:colFirst="0" w:colLast="0" w:name="_heading=h.t0c4rrfbrfsu" w:id="6"/>
      <w:bookmarkEnd w:id="6"/>
      <w:r w:rsidDel="00000000" w:rsidR="00000000" w:rsidRPr="00000000">
        <w:rPr>
          <w:rtl w:val="0"/>
        </w:rPr>
      </w:r>
    </w:p>
    <w:p w:rsidR="00000000" w:rsidDel="00000000" w:rsidP="00000000" w:rsidRDefault="00000000" w:rsidRPr="00000000" w14:paraId="00000026">
      <w:pPr>
        <w:ind w:left="-426" w:right="-433" w:firstLine="0"/>
        <w:jc w:val="both"/>
        <w:rPr>
          <w:rFonts w:ascii="Verdana" w:cs="Verdana" w:eastAsia="Verdana" w:hAnsi="Verdana"/>
          <w:sz w:val="20"/>
          <w:szCs w:val="20"/>
          <w:highlight w:val="white"/>
        </w:rPr>
      </w:pPr>
      <w:bookmarkStart w:colFirst="0" w:colLast="0" w:name="_heading=h.ilzctr69q3s2" w:id="7"/>
      <w:bookmarkEnd w:id="7"/>
      <w:r w:rsidDel="00000000" w:rsidR="00000000" w:rsidRPr="00000000">
        <w:rPr>
          <w:rFonts w:ascii="Verdana" w:cs="Verdana" w:eastAsia="Verdana" w:hAnsi="Verdana"/>
          <w:sz w:val="20"/>
          <w:szCs w:val="20"/>
          <w:highlight w:val="white"/>
          <w:rtl w:val="0"/>
        </w:rPr>
        <w:t xml:space="preserve">Securix is a service provider currently employing around 100 people in Switzerland, with a primary focus on the integration and operation of software and cloud solutions. Its offerings also focus on the areas of identity security and observability.</w:t>
      </w:r>
    </w:p>
    <w:p w:rsidR="00000000" w:rsidDel="00000000" w:rsidP="00000000" w:rsidRDefault="00000000" w:rsidRPr="00000000" w14:paraId="00000027">
      <w:pPr>
        <w:ind w:left="-426" w:right="-433" w:firstLine="0"/>
        <w:jc w:val="both"/>
        <w:rPr>
          <w:rFonts w:ascii="Verdana" w:cs="Verdana" w:eastAsia="Verdana" w:hAnsi="Verdana"/>
          <w:sz w:val="20"/>
          <w:szCs w:val="20"/>
          <w:highlight w:val="white"/>
        </w:rPr>
      </w:pPr>
      <w:bookmarkStart w:colFirst="0" w:colLast="0" w:name="_heading=h.v3m4a8fvbt7m" w:id="8"/>
      <w:bookmarkEnd w:id="8"/>
      <w:r w:rsidDel="00000000" w:rsidR="00000000" w:rsidRPr="00000000">
        <w:rPr>
          <w:rtl w:val="0"/>
        </w:rPr>
      </w:r>
    </w:p>
    <w:p w:rsidR="00000000" w:rsidDel="00000000" w:rsidP="00000000" w:rsidRDefault="00000000" w:rsidRPr="00000000" w14:paraId="00000028">
      <w:pPr>
        <w:ind w:left="-425.19685039370086" w:firstLine="0"/>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About Allurity</w:t>
      </w:r>
    </w:p>
    <w:p w:rsidR="00000000" w:rsidDel="00000000" w:rsidP="00000000" w:rsidRDefault="00000000" w:rsidRPr="00000000" w14:paraId="00000029">
      <w:pPr>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A">
      <w:pPr>
        <w:ind w:left="-425.19685039370086" w:right="-409.1338582677156"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Allurity is a group of tech-enabled cybersecurity service providers, comprised of best-in-class companies with a common mission to enable a safe digital world.</w:t>
      </w:r>
    </w:p>
    <w:p w:rsidR="00000000" w:rsidDel="00000000" w:rsidP="00000000" w:rsidRDefault="00000000" w:rsidRPr="00000000" w14:paraId="0000002B">
      <w:pPr>
        <w:ind w:left="-425.19685039370086" w:right="-409.1338582677156"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2C">
      <w:pPr>
        <w:ind w:left="-425.19685039370086" w:right="-409.1338582677156"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Allurity's vision is to become the preferred partner for cyber security services in Europe. The group offers a full range of cybersecurity services, from proactive to reactive services and software, aimed at improving data protection and reducing the cost of cybercrime. </w:t>
      </w:r>
    </w:p>
    <w:p w:rsidR="00000000" w:rsidDel="00000000" w:rsidP="00000000" w:rsidRDefault="00000000" w:rsidRPr="00000000" w14:paraId="0000002D">
      <w:pPr>
        <w:ind w:left="-425.19685039370086" w:right="-409.1338582677156"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2E">
      <w:pPr>
        <w:ind w:left="-425.19685039370086" w:right="-409.1338582677156" w:firstLine="0"/>
        <w:jc w:val="both"/>
        <w:rPr>
          <w:rFonts w:ascii="Verdana" w:cs="Verdana" w:eastAsia="Verdana" w:hAnsi="Verdana"/>
          <w:sz w:val="20"/>
          <w:szCs w:val="20"/>
          <w:highlight w:val="white"/>
        </w:rPr>
      </w:pPr>
      <w:hyperlink r:id="rId7">
        <w:r w:rsidDel="00000000" w:rsidR="00000000" w:rsidRPr="00000000">
          <w:rPr>
            <w:rFonts w:ascii="Verdana" w:cs="Verdana" w:eastAsia="Verdana" w:hAnsi="Verdana"/>
            <w:sz w:val="20"/>
            <w:szCs w:val="20"/>
            <w:highlight w:val="white"/>
            <w:rtl w:val="0"/>
          </w:rPr>
          <w:t xml:space="preserve">https://www.allurity.com</w:t>
        </w:r>
      </w:hyperlink>
      <w:r w:rsidDel="00000000" w:rsidR="00000000" w:rsidRPr="00000000">
        <w:rPr>
          <w:rtl w:val="0"/>
        </w:rPr>
      </w:r>
    </w:p>
    <w:p w:rsidR="00000000" w:rsidDel="00000000" w:rsidP="00000000" w:rsidRDefault="00000000" w:rsidRPr="00000000" w14:paraId="0000002F">
      <w:pPr>
        <w:ind w:left="-426" w:right="-409.1338582677156" w:firstLine="0"/>
        <w:jc w:val="both"/>
        <w:rPr>
          <w:rFonts w:ascii="Verdana" w:cs="Verdana" w:eastAsia="Verdana" w:hAnsi="Verdana"/>
          <w:sz w:val="20"/>
          <w:szCs w:val="20"/>
          <w:highlight w:val="white"/>
        </w:rPr>
      </w:pPr>
      <w:bookmarkStart w:colFirst="0" w:colLast="0" w:name="_heading=h.2fuym2srxww6" w:id="9"/>
      <w:bookmarkEnd w:id="9"/>
      <w:r w:rsidDel="00000000" w:rsidR="00000000" w:rsidRPr="00000000">
        <w:rPr>
          <w:rtl w:val="0"/>
        </w:rPr>
      </w:r>
    </w:p>
    <w:p w:rsidR="00000000" w:rsidDel="00000000" w:rsidP="00000000" w:rsidRDefault="00000000" w:rsidRPr="00000000" w14:paraId="00000030">
      <w:pPr>
        <w:shd w:fill="ffffff" w:val="clear"/>
        <w:ind w:left="-425" w:firstLine="0"/>
        <w:jc w:val="both"/>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425" w:firstLine="0"/>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Ion, Imagen y Comunicación</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425" w:firstLine="0"/>
        <w:jc w:val="both"/>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425"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Carolina Morales/Eduardo Lobillo</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425"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carolina@ioncomunicacion.es</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425"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eduardo@ioncomunicacion.es</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425"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Tlf. +00 34  915 76 05 88</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425" w:firstLine="0"/>
        <w:jc w:val="both"/>
        <w:rPr>
          <w:rFonts w:ascii="Verdana" w:cs="Verdana" w:eastAsia="Verdana" w:hAnsi="Verdana"/>
          <w:sz w:val="20"/>
          <w:szCs w:val="20"/>
          <w:highlight w:val="white"/>
        </w:rPr>
      </w:pPr>
      <w:hyperlink r:id="rId8">
        <w:r w:rsidDel="00000000" w:rsidR="00000000" w:rsidRPr="00000000">
          <w:rPr>
            <w:rFonts w:ascii="Verdana" w:cs="Verdana" w:eastAsia="Verdana" w:hAnsi="Verdana"/>
            <w:sz w:val="20"/>
            <w:szCs w:val="20"/>
            <w:highlight w:val="white"/>
            <w:rtl w:val="0"/>
          </w:rPr>
          <w:t xml:space="preserve">www.ioncomunicacion.es</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425" w:firstLine="0"/>
        <w:jc w:val="both"/>
        <w:rPr>
          <w:rFonts w:ascii="Arial" w:cs="Arial" w:eastAsia="Arial" w:hAnsi="Arial"/>
          <w:b w:val="1"/>
          <w:sz w:val="22"/>
          <w:szCs w:val="22"/>
          <w:u w:val="single"/>
        </w:rPr>
      </w:pPr>
      <w:r w:rsidDel="00000000" w:rsidR="00000000" w:rsidRPr="00000000">
        <w:rPr>
          <w:rtl w:val="0"/>
        </w:rPr>
      </w:r>
    </w:p>
    <w:sectPr>
      <w:headerReference r:id="rId9"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252"/>
        <w:tab w:val="right" w:leader="none" w:pos="8504"/>
        <w:tab w:val="right" w:leader="none" w:pos="8478"/>
      </w:tabs>
      <w:jc w:val="right"/>
      <w:rPr/>
    </w:pPr>
    <w:r w:rsidDel="00000000" w:rsidR="00000000" w:rsidRPr="00000000">
      <w:rPr>
        <w:sz w:val="22"/>
        <w:szCs w:val="22"/>
      </w:rPr>
      <w:drawing>
        <wp:inline distB="114300" distT="114300" distL="114300" distR="114300">
          <wp:extent cx="1206500" cy="762000"/>
          <wp:effectExtent b="0" l="0" r="0" t="0"/>
          <wp:docPr descr="Imagen que contiene Icono&#10;&#10;Descripción generada automáticamente" id="28" name="image1.png"/>
          <a:graphic>
            <a:graphicData uri="http://schemas.openxmlformats.org/drawingml/2006/picture">
              <pic:pic>
                <pic:nvPicPr>
                  <pic:cNvPr descr="Imagen que contiene Icono&#10;&#10;Descripción generada automáticamente" id="0" name="image1.png"/>
                  <pic:cNvPicPr preferRelativeResize="0"/>
                </pic:nvPicPr>
                <pic:blipFill>
                  <a:blip r:embed="rId1"/>
                  <a:srcRect b="0" l="0" r="0" t="0"/>
                  <a:stretch>
                    <a:fillRect/>
                  </a:stretch>
                </pic:blipFill>
                <pic:spPr>
                  <a:xfrm>
                    <a:off x="0" y="0"/>
                    <a:ext cx="1206500"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4645669291337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1AF3"/>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DB3500"/>
    <w:pPr>
      <w:tabs>
        <w:tab w:val="center" w:pos="4419"/>
        <w:tab w:val="right" w:pos="8838"/>
      </w:tabs>
    </w:pPr>
  </w:style>
  <w:style w:type="character" w:styleId="EncabezadoCar" w:customStyle="1">
    <w:name w:val="Encabezado Car"/>
    <w:basedOn w:val="Fuentedeprrafopredeter"/>
    <w:link w:val="Encabezado"/>
    <w:uiPriority w:val="99"/>
    <w:rsid w:val="00DB3500"/>
  </w:style>
  <w:style w:type="paragraph" w:styleId="Piedepgina">
    <w:name w:val="footer"/>
    <w:basedOn w:val="Normal"/>
    <w:link w:val="PiedepginaCar"/>
    <w:uiPriority w:val="99"/>
    <w:unhideWhenUsed w:val="1"/>
    <w:rsid w:val="00DB3500"/>
    <w:pPr>
      <w:tabs>
        <w:tab w:val="center" w:pos="4419"/>
        <w:tab w:val="right" w:pos="8838"/>
      </w:tabs>
    </w:pPr>
  </w:style>
  <w:style w:type="character" w:styleId="PiedepginaCar" w:customStyle="1">
    <w:name w:val="Pie de página Car"/>
    <w:basedOn w:val="Fuentedeprrafopredeter"/>
    <w:link w:val="Piedepgina"/>
    <w:uiPriority w:val="99"/>
    <w:rsid w:val="00DB3500"/>
  </w:style>
  <w:style w:type="character" w:styleId="Hipervnculo">
    <w:name w:val="Hyperlink"/>
    <w:basedOn w:val="Fuentedeprrafopredeter"/>
    <w:uiPriority w:val="99"/>
    <w:unhideWhenUsed w:val="1"/>
    <w:rsid w:val="00DB3500"/>
    <w:rPr>
      <w:color w:val="0000ff"/>
      <w:u w:val="single"/>
    </w:rPr>
  </w:style>
  <w:style w:type="paragraph" w:styleId="NormalWeb">
    <w:name w:val="Normal (Web)"/>
    <w:basedOn w:val="Normal"/>
    <w:uiPriority w:val="99"/>
    <w:unhideWhenUsed w:val="1"/>
    <w:rsid w:val="003524CF"/>
    <w:pPr>
      <w:spacing w:after="100" w:afterAutospacing="1" w:before="100" w:beforeAutospacing="1"/>
    </w:pPr>
    <w:rPr>
      <w:rFonts w:ascii="Times New Roman" w:cs="Times New Roman" w:eastAsia="Times New Roman" w:hAnsi="Times New Roman"/>
    </w:rPr>
  </w:style>
  <w:style w:type="character" w:styleId="s1" w:customStyle="1">
    <w:name w:val="s1"/>
    <w:basedOn w:val="Fuentedeprrafopredeter"/>
    <w:rsid w:val="003524CF"/>
  </w:style>
  <w:style w:type="paragraph" w:styleId="Textodeglobo">
    <w:name w:val="Balloon Text"/>
    <w:basedOn w:val="Normal"/>
    <w:link w:val="TextodegloboCar"/>
    <w:uiPriority w:val="99"/>
    <w:semiHidden w:val="1"/>
    <w:unhideWhenUsed w:val="1"/>
    <w:rsid w:val="0084454E"/>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84454E"/>
    <w:rPr>
      <w:rFonts w:ascii="Times New Roman" w:cs="Times New Roman" w:hAnsi="Times New Roman"/>
      <w:sz w:val="18"/>
      <w:szCs w:val="18"/>
    </w:rPr>
  </w:style>
  <w:style w:type="character" w:styleId="Mencinsinresolver">
    <w:name w:val="Unresolved Mention"/>
    <w:basedOn w:val="Fuentedeprrafopredeter"/>
    <w:uiPriority w:val="99"/>
    <w:semiHidden w:val="1"/>
    <w:unhideWhenUsed w:val="1"/>
    <w:rsid w:val="00B42167"/>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lurity.com" TargetMode="External"/><Relationship Id="rId8" Type="http://schemas.openxmlformats.org/officeDocument/2006/relationships/hyperlink" Target="http://www.ioncomun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RrJErfuWx3gZp4k2vvnKEZC91Q==">AMUW2mV/dqGKJ+yQRS7ir9DYrfhKWXOQWugsKKnWFpbk4RAM7pocboxC4Ids79ggC8gmPpzJ5wxva2kZxr41JORc8E9Cx3hWU0NVODZfVYW+srd8sgOUGDTVV+l1YW7BE5G4uHTZ1UA2R6wnANytbZsZ9LOa47JDbHEvaiRNySxxjj5FFfKrVZfgWDRVz4AYy62dg3Vvcue8PTpRQ+ZYsdp1gh6qF89kg12Z4srx9slHE0mLtXX8p3AEL3x/zqcIk77D/+k+M9KwZQ5ganmXny7bXmhGO1Q8QlCI8NTY6J0etdJ3Vst/3988v1GRzppYsiB+AYmA/D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2023-01-26T09:36:00Z</dcterms:created>
  <dc:creator>Microsoft Office User</dc:creator>
</cp:coreProperties>
</file>