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766"/>
      </w:tblGrid>
      <w:tr w:rsidR="00DB11A4" w14:paraId="5C2DEE80" w14:textId="77777777" w:rsidTr="00DB11A4">
        <w:tc>
          <w:tcPr>
            <w:tcW w:w="7196" w:type="dxa"/>
          </w:tcPr>
          <w:p w14:paraId="53198A41" w14:textId="67C021A2" w:rsidR="00DB11A4" w:rsidRDefault="00DB11A4">
            <w:r>
              <w:rPr>
                <w:noProof/>
              </w:rPr>
              <w:drawing>
                <wp:inline distT="0" distB="0" distL="0" distR="0" wp14:anchorId="50D730A6" wp14:editId="3CD52DA9">
                  <wp:extent cx="1970543" cy="294659"/>
                  <wp:effectExtent l="0" t="0" r="0" b="0"/>
                  <wp:docPr id="12786194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19450" name="Picture 127861945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0472" cy="311097"/>
                          </a:xfrm>
                          <a:prstGeom prst="rect">
                            <a:avLst/>
                          </a:prstGeom>
                        </pic:spPr>
                      </pic:pic>
                    </a:graphicData>
                  </a:graphic>
                </wp:inline>
              </w:drawing>
            </w:r>
          </w:p>
        </w:tc>
        <w:tc>
          <w:tcPr>
            <w:tcW w:w="2766" w:type="dxa"/>
          </w:tcPr>
          <w:p w14:paraId="15D9B629" w14:textId="6374FB69" w:rsidR="00DB11A4" w:rsidRPr="00710201" w:rsidRDefault="00710201">
            <w:pPr>
              <w:rPr>
                <w:rFonts w:ascii="Verdana" w:hAnsi="Verdana"/>
                <w:color w:val="5B9BD5" w:themeColor="accent5"/>
                <w:sz w:val="36"/>
                <w:szCs w:val="36"/>
              </w:rPr>
            </w:pPr>
            <w:r>
              <w:rPr>
                <w:rFonts w:ascii="Verdana" w:hAnsi="Verdana"/>
                <w:color w:val="0A7EA6"/>
                <w:sz w:val="36"/>
              </w:rPr>
              <w:t>News Update</w:t>
            </w:r>
          </w:p>
        </w:tc>
      </w:tr>
    </w:tbl>
    <w:p w14:paraId="53B6928D" w14:textId="77777777" w:rsidR="00EF022B" w:rsidRDefault="00EF022B"/>
    <w:p w14:paraId="4C3DCE2F" w14:textId="77777777" w:rsidR="00DB11A4" w:rsidRDefault="00DB11A4"/>
    <w:p w14:paraId="776B7727" w14:textId="77777777" w:rsidR="00DB11A4" w:rsidRDefault="00DB11A4" w:rsidP="00DB11A4">
      <w:pPr>
        <w:pStyle w:val="Header"/>
        <w:tabs>
          <w:tab w:val="clear" w:pos="4320"/>
        </w:tabs>
      </w:pPr>
      <w:r w:rsidRPr="00A4506A">
        <w:rPr>
          <w:rFonts w:ascii="Verdana" w:hAnsi="Verdana"/>
          <w:color w:val="0A7EA6"/>
          <w:sz w:val="36"/>
        </w:rPr>
        <w:t>Ballard</w:t>
      </w:r>
      <w:r>
        <w:rPr>
          <w:rFonts w:ascii="Verdana" w:hAnsi="Verdana"/>
          <w:color w:val="0A7EA6"/>
          <w:sz w:val="36"/>
        </w:rPr>
        <w:t xml:space="preserve"> introduces new scalable </w:t>
      </w:r>
      <w:proofErr w:type="spellStart"/>
      <w:r>
        <w:rPr>
          <w:rFonts w:ascii="Verdana" w:hAnsi="Verdana"/>
          <w:color w:val="0A7EA6"/>
          <w:sz w:val="36"/>
        </w:rPr>
        <w:t>FCmove</w:t>
      </w:r>
      <w:proofErr w:type="spellEnd"/>
      <w:r w:rsidRPr="00710201">
        <w:rPr>
          <w:rFonts w:ascii="Verdana" w:hAnsi="Verdana"/>
          <w:color w:val="0A7EA6"/>
          <w:sz w:val="36"/>
          <w:vertAlign w:val="superscript"/>
        </w:rPr>
        <w:t>®</w:t>
      </w:r>
      <w:r>
        <w:rPr>
          <w:rFonts w:ascii="Verdana" w:hAnsi="Verdana"/>
          <w:color w:val="0A7EA6"/>
          <w:sz w:val="36"/>
        </w:rPr>
        <w:t>-XD fuel cell engine with class-leading power density at IAA TRANSPORTATION 2024</w:t>
      </w:r>
    </w:p>
    <w:p w14:paraId="70C71504" w14:textId="77777777" w:rsidR="00DB11A4" w:rsidRPr="00DB11A4" w:rsidRDefault="00DB11A4" w:rsidP="00DB11A4">
      <w:pPr>
        <w:pStyle w:val="Heading1"/>
        <w:rPr>
          <w:rFonts w:ascii="Verdana" w:hAnsi="Verdana" w:cstheme="minorHAnsi"/>
          <w:b/>
          <w:bCs/>
          <w:color w:val="auto"/>
          <w:sz w:val="24"/>
          <w:szCs w:val="24"/>
        </w:rPr>
      </w:pPr>
      <w:r w:rsidRPr="00DB11A4">
        <w:rPr>
          <w:rFonts w:ascii="Verdana" w:hAnsi="Verdana" w:cstheme="minorHAnsi"/>
          <w:b/>
          <w:bCs/>
          <w:color w:val="auto"/>
          <w:sz w:val="24"/>
          <w:szCs w:val="24"/>
        </w:rPr>
        <w:t>Fuel cell supplier’s latest high-performance module for heavy-duty vehicles, scalable from 120-360kW, will make its European debut at IAA 2024</w:t>
      </w:r>
    </w:p>
    <w:p w14:paraId="207E326A" w14:textId="77777777" w:rsidR="00DB11A4" w:rsidRPr="006D429F" w:rsidRDefault="00DB11A4" w:rsidP="00DB11A4">
      <w:pPr>
        <w:pStyle w:val="Heading1"/>
        <w:rPr>
          <w:rFonts w:ascii="Verdana" w:hAnsi="Verdana" w:cstheme="minorHAnsi"/>
          <w:b/>
          <w:bCs/>
          <w:color w:val="auto"/>
          <w:sz w:val="22"/>
          <w:szCs w:val="22"/>
        </w:rPr>
      </w:pPr>
      <w:r w:rsidRPr="006D429F">
        <w:rPr>
          <w:rFonts w:ascii="Verdana" w:hAnsi="Verdana" w:cstheme="minorHAnsi"/>
          <w:b/>
          <w:bCs/>
          <w:color w:val="auto"/>
          <w:sz w:val="22"/>
          <w:szCs w:val="22"/>
        </w:rPr>
        <w:t>For Immediate Release – Aug. 21, 2024</w:t>
      </w:r>
    </w:p>
    <w:p w14:paraId="2460DF02" w14:textId="77777777" w:rsidR="00DB11A4" w:rsidRPr="006D429F" w:rsidRDefault="00DB11A4" w:rsidP="00DB11A4">
      <w:pPr>
        <w:pStyle w:val="Header"/>
        <w:tabs>
          <w:tab w:val="clear" w:pos="4320"/>
        </w:tabs>
        <w:rPr>
          <w:rFonts w:ascii="Verdana" w:hAnsi="Verdana"/>
          <w:i/>
          <w:iCs/>
          <w:sz w:val="22"/>
          <w:szCs w:val="22"/>
        </w:rPr>
      </w:pPr>
    </w:p>
    <w:p w14:paraId="335802AE" w14:textId="77777777" w:rsidR="00DB11A4" w:rsidRPr="006D429F" w:rsidRDefault="00DB11A4" w:rsidP="00DB11A4">
      <w:pPr>
        <w:rPr>
          <w:rFonts w:ascii="Verdana" w:hAnsi="Verdana" w:cs="Arial"/>
          <w:color w:val="000000"/>
        </w:rPr>
      </w:pPr>
      <w:r w:rsidRPr="006D429F">
        <w:rPr>
          <w:rFonts w:ascii="Verdana" w:hAnsi="Verdana" w:cstheme="minorHAnsi"/>
          <w:b/>
        </w:rPr>
        <w:t xml:space="preserve">VANCOUVER, CANADA </w:t>
      </w:r>
      <w:r w:rsidRPr="006D429F">
        <w:rPr>
          <w:rFonts w:ascii="Verdana" w:hAnsi="Verdana" w:cstheme="minorHAnsi"/>
          <w:color w:val="808080" w:themeColor="background1" w:themeShade="80"/>
        </w:rPr>
        <w:t xml:space="preserve">– </w:t>
      </w:r>
      <w:r w:rsidRPr="006D429F">
        <w:rPr>
          <w:rFonts w:ascii="Verdana" w:hAnsi="Verdana" w:cs="Arial"/>
          <w:color w:val="000000"/>
        </w:rPr>
        <w:t xml:space="preserve">Ballard Power Systems (NASDAQ: BLDP; TSX: BLDP) will unveil the high-performance </w:t>
      </w:r>
      <w:proofErr w:type="spellStart"/>
      <w:r w:rsidRPr="006D429F">
        <w:rPr>
          <w:rFonts w:ascii="Verdana" w:hAnsi="Verdana" w:cs="Arial"/>
          <w:color w:val="000000"/>
        </w:rPr>
        <w:t>FCmove</w:t>
      </w:r>
      <w:proofErr w:type="spellEnd"/>
      <w:r w:rsidRPr="006D429F">
        <w:rPr>
          <w:rFonts w:ascii="Verdana" w:hAnsi="Verdana" w:cs="Arial"/>
          <w:color w:val="000000"/>
          <w:vertAlign w:val="superscript"/>
        </w:rPr>
        <w:t>®</w:t>
      </w:r>
      <w:r w:rsidRPr="006D429F">
        <w:rPr>
          <w:rFonts w:ascii="Verdana" w:hAnsi="Verdana" w:cs="Arial"/>
          <w:color w:val="000000"/>
        </w:rPr>
        <w:t xml:space="preserve">-XD fuel cell engine, including the first public demonstration of its 240kW configuration, at the leading transportation event. Ballard is exhibiting in hall 24, booth C01 from 16-22 September, at the Hannover Messe </w:t>
      </w:r>
      <w:proofErr w:type="spellStart"/>
      <w:r w:rsidRPr="006D429F">
        <w:rPr>
          <w:rFonts w:ascii="Verdana" w:hAnsi="Verdana" w:cs="Arial"/>
          <w:color w:val="000000"/>
        </w:rPr>
        <w:t>Center</w:t>
      </w:r>
      <w:proofErr w:type="spellEnd"/>
      <w:r w:rsidRPr="006D429F">
        <w:rPr>
          <w:rFonts w:ascii="Verdana" w:hAnsi="Verdana" w:cs="Arial"/>
          <w:color w:val="000000"/>
        </w:rPr>
        <w:t>, Germany.</w:t>
      </w:r>
    </w:p>
    <w:p w14:paraId="526B9478" w14:textId="77777777" w:rsidR="00DB11A4" w:rsidRPr="006D429F" w:rsidRDefault="00DB11A4" w:rsidP="00DB11A4">
      <w:pPr>
        <w:rPr>
          <w:rFonts w:ascii="Verdana" w:hAnsi="Verdana" w:cs="Arial"/>
          <w:color w:val="000000"/>
        </w:rPr>
      </w:pPr>
      <w:r w:rsidRPr="006D429F">
        <w:rPr>
          <w:rFonts w:ascii="Verdana" w:hAnsi="Verdana" w:cs="Arial"/>
          <w:color w:val="000000"/>
        </w:rPr>
        <w:t xml:space="preserve">Building on nine generations of fuel cell development, the compact design of the new </w:t>
      </w:r>
      <w:proofErr w:type="spellStart"/>
      <w:r w:rsidRPr="006D429F">
        <w:rPr>
          <w:rFonts w:ascii="Verdana" w:hAnsi="Verdana" w:cs="Arial"/>
          <w:color w:val="000000"/>
        </w:rPr>
        <w:t>FCmove</w:t>
      </w:r>
      <w:proofErr w:type="spellEnd"/>
      <w:r w:rsidRPr="006D429F">
        <w:rPr>
          <w:rFonts w:ascii="Verdana" w:hAnsi="Verdana" w:cs="Arial"/>
          <w:color w:val="000000"/>
          <w:vertAlign w:val="superscript"/>
        </w:rPr>
        <w:t>®</w:t>
      </w:r>
      <w:r w:rsidRPr="006D429F">
        <w:rPr>
          <w:rFonts w:ascii="Verdana" w:hAnsi="Verdana" w:cs="Arial"/>
          <w:color w:val="000000"/>
        </w:rPr>
        <w:t>-XD module delivers class-leading volumetric power density, with an open architecture design approach that also makes the fuel cell the smallest and lightest in its power range.</w:t>
      </w:r>
    </w:p>
    <w:p w14:paraId="042B8F79" w14:textId="77777777" w:rsidR="00DB11A4" w:rsidRPr="00632D3F" w:rsidRDefault="00DB11A4" w:rsidP="00DB11A4">
      <w:pPr>
        <w:jc w:val="center"/>
        <w:rPr>
          <w:rStyle w:val="normaltextrun"/>
          <w:rFonts w:ascii="Verdana" w:hAnsi="Verdana"/>
          <w:color w:val="808080" w:themeColor="background1" w:themeShade="80"/>
          <w:sz w:val="20"/>
          <w:szCs w:val="20"/>
          <w:shd w:val="clear" w:color="auto" w:fill="FFFFFF"/>
          <w:lang w:val="en-CA"/>
        </w:rPr>
      </w:pPr>
      <w:r w:rsidRPr="00632D3F">
        <w:rPr>
          <w:rStyle w:val="normaltextrun"/>
          <w:rFonts w:ascii="Verdana" w:hAnsi="Verdana"/>
          <w:noProof/>
          <w:color w:val="808080" w:themeColor="background1" w:themeShade="80"/>
          <w:sz w:val="20"/>
          <w:szCs w:val="20"/>
          <w:shd w:val="clear" w:color="auto" w:fill="FFFFFF"/>
          <w:lang w:val="en-CA"/>
        </w:rPr>
        <w:drawing>
          <wp:inline distT="0" distB="0" distL="0" distR="0" wp14:anchorId="6B4D55DA" wp14:editId="10E37699">
            <wp:extent cx="3267075" cy="3267075"/>
            <wp:effectExtent l="0" t="0" r="0" b="9525"/>
            <wp:docPr id="101130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r w:rsidRPr="00632D3F">
        <w:rPr>
          <w:rStyle w:val="normaltextrun"/>
          <w:rFonts w:ascii="Verdana" w:hAnsi="Verdana"/>
          <w:color w:val="808080" w:themeColor="background1" w:themeShade="80"/>
          <w:sz w:val="20"/>
          <w:szCs w:val="20"/>
          <w:shd w:val="clear" w:color="auto" w:fill="FFFFFF"/>
          <w:lang w:val="en-CA"/>
        </w:rPr>
        <w:br/>
        <w:t xml:space="preserve">Ballard’s </w:t>
      </w:r>
      <w:proofErr w:type="spellStart"/>
      <w:r w:rsidRPr="00632D3F">
        <w:rPr>
          <w:rStyle w:val="normaltextrun"/>
          <w:rFonts w:ascii="Verdana" w:hAnsi="Verdana"/>
          <w:color w:val="808080" w:themeColor="background1" w:themeShade="80"/>
          <w:sz w:val="20"/>
          <w:szCs w:val="20"/>
          <w:shd w:val="clear" w:color="auto" w:fill="FFFFFF"/>
          <w:lang w:val="en-CA"/>
        </w:rPr>
        <w:t>FCmove</w:t>
      </w:r>
      <w:proofErr w:type="spellEnd"/>
      <w:r w:rsidRPr="00632D3F">
        <w:rPr>
          <w:rStyle w:val="normaltextrun"/>
          <w:rFonts w:ascii="Verdana" w:hAnsi="Verdana"/>
          <w:color w:val="808080" w:themeColor="background1" w:themeShade="80"/>
          <w:sz w:val="20"/>
          <w:szCs w:val="20"/>
          <w:shd w:val="clear" w:color="auto" w:fill="FFFFFF"/>
          <w:vertAlign w:val="superscript"/>
          <w:lang w:val="en-CA"/>
        </w:rPr>
        <w:t>®</w:t>
      </w:r>
      <w:r w:rsidRPr="00632D3F">
        <w:rPr>
          <w:rStyle w:val="normaltextrun"/>
          <w:rFonts w:ascii="Verdana" w:hAnsi="Verdana"/>
          <w:color w:val="808080" w:themeColor="background1" w:themeShade="80"/>
          <w:sz w:val="20"/>
          <w:szCs w:val="20"/>
          <w:shd w:val="clear" w:color="auto" w:fill="FFFFFF"/>
          <w:lang w:val="en-CA"/>
        </w:rPr>
        <w:t>-XD fuel cell engine</w:t>
      </w:r>
    </w:p>
    <w:p w14:paraId="162BBA33" w14:textId="77777777" w:rsidR="00DB11A4" w:rsidRPr="00632D3F" w:rsidRDefault="00DB11A4" w:rsidP="00DB11A4">
      <w:pPr>
        <w:rPr>
          <w:rStyle w:val="normaltextrun"/>
          <w:rFonts w:ascii="Verdana" w:hAnsi="Verdana"/>
          <w:color w:val="808080" w:themeColor="background1" w:themeShade="80"/>
          <w:sz w:val="20"/>
          <w:szCs w:val="20"/>
          <w:shd w:val="clear" w:color="auto" w:fill="FFFFFF"/>
          <w:lang w:val="en-CA"/>
        </w:rPr>
      </w:pPr>
    </w:p>
    <w:p w14:paraId="2692F492" w14:textId="77777777" w:rsidR="00DB11A4" w:rsidRPr="006D429F" w:rsidRDefault="00DB11A4" w:rsidP="00DB11A4">
      <w:pPr>
        <w:rPr>
          <w:rStyle w:val="normaltextrun"/>
          <w:rFonts w:ascii="Verdana" w:hAnsi="Verdana"/>
          <w:color w:val="808080" w:themeColor="background1" w:themeShade="80"/>
          <w:shd w:val="clear" w:color="auto" w:fill="FFFFFF"/>
          <w:lang w:val="en-CA"/>
        </w:rPr>
      </w:pPr>
      <w:r w:rsidRPr="006D429F">
        <w:rPr>
          <w:rFonts w:ascii="Verdana" w:hAnsi="Verdana" w:cs="Arial"/>
          <w:color w:val="000000"/>
        </w:rPr>
        <w:lastRenderedPageBreak/>
        <w:t xml:space="preserve">“The power and performance requirements of the truck market are particularly demanding due to the wide range of use cases, including high vehicle utilisation rates and payload requirements,” said Dave Mucciacciaro, Senior Vice President and Chief Commercial Officer, Ballard. “One of the compelling features of our new </w:t>
      </w:r>
      <w:proofErr w:type="spellStart"/>
      <w:r w:rsidRPr="006D429F">
        <w:rPr>
          <w:rFonts w:ascii="Verdana" w:hAnsi="Verdana" w:cs="Arial"/>
          <w:color w:val="000000"/>
        </w:rPr>
        <w:t>FCmove</w:t>
      </w:r>
      <w:proofErr w:type="spellEnd"/>
      <w:r w:rsidRPr="006D429F">
        <w:rPr>
          <w:rFonts w:ascii="Verdana" w:hAnsi="Verdana" w:cs="Arial"/>
          <w:color w:val="000000"/>
          <w:vertAlign w:val="superscript"/>
        </w:rPr>
        <w:t>®</w:t>
      </w:r>
      <w:r w:rsidRPr="006D429F">
        <w:rPr>
          <w:rFonts w:ascii="Verdana" w:hAnsi="Verdana" w:cs="Arial"/>
          <w:color w:val="000000"/>
        </w:rPr>
        <w:t>-XD is scalability based on modularity. We can offer customers efficient integration of 120kW, 240kW, and 360kW solutions dependent on truck class, use case, and duty cycle. For example, two modules, totalling 240kW of power output, can be easily installed in the engine compartment of a typical Class 8 heavy-duty truck, enhancing standardization and redundancy.”</w:t>
      </w:r>
    </w:p>
    <w:p w14:paraId="6EBD47CC" w14:textId="77777777" w:rsidR="00DB11A4" w:rsidRPr="006D429F" w:rsidRDefault="00DB11A4" w:rsidP="00DB11A4">
      <w:pPr>
        <w:pStyle w:val="Header"/>
        <w:tabs>
          <w:tab w:val="clear" w:pos="4320"/>
        </w:tabs>
        <w:rPr>
          <w:rFonts w:ascii="Verdana" w:hAnsi="Verdana" w:cs="Arial"/>
          <w:color w:val="000000"/>
          <w:sz w:val="22"/>
          <w:szCs w:val="22"/>
        </w:rPr>
      </w:pPr>
      <w:r w:rsidRPr="006D429F">
        <w:rPr>
          <w:rFonts w:ascii="Verdana" w:hAnsi="Verdana" w:cs="Arial"/>
          <w:color w:val="000000"/>
          <w:sz w:val="22"/>
          <w:szCs w:val="22"/>
        </w:rPr>
        <w:t xml:space="preserve">Delivering the highest volumetric power density in the industry for heavy-duty applications, the </w:t>
      </w:r>
      <w:proofErr w:type="spellStart"/>
      <w:r w:rsidRPr="006D429F">
        <w:rPr>
          <w:rFonts w:ascii="Verdana" w:hAnsi="Verdana" w:cs="Arial"/>
          <w:color w:val="000000"/>
          <w:sz w:val="22"/>
          <w:szCs w:val="22"/>
        </w:rPr>
        <w:t>FCmove</w:t>
      </w:r>
      <w:proofErr w:type="spellEnd"/>
      <w:r w:rsidRPr="006D429F">
        <w:rPr>
          <w:rFonts w:ascii="Verdana" w:hAnsi="Verdana" w:cs="Arial"/>
          <w:color w:val="000000"/>
          <w:sz w:val="22"/>
          <w:szCs w:val="22"/>
          <w:vertAlign w:val="superscript"/>
        </w:rPr>
        <w:t>®</w:t>
      </w:r>
      <w:r w:rsidRPr="006D429F">
        <w:rPr>
          <w:rFonts w:ascii="Verdana" w:hAnsi="Verdana" w:cs="Arial"/>
          <w:color w:val="000000"/>
          <w:sz w:val="22"/>
          <w:szCs w:val="22"/>
        </w:rPr>
        <w:t>-XD features an engine volumetric power density of 0.36 kW/L and gravimetric power density of 0.48 kW/kg. The scalable 120kW fuel cell module integrates DC/DC regulated output, enabling up to three modules to operate as one system with a single interface, capable of delivering a combined 360kW of zero-emission power output.</w:t>
      </w:r>
      <w:r w:rsidRPr="006D429F">
        <w:rPr>
          <w:rFonts w:ascii="Verdana" w:hAnsi="Verdana" w:cs="Arial"/>
          <w:color w:val="000000"/>
          <w:sz w:val="22"/>
          <w:szCs w:val="22"/>
        </w:rPr>
        <w:br/>
      </w:r>
    </w:p>
    <w:p w14:paraId="16C52776" w14:textId="24879E94" w:rsidR="00DB11A4" w:rsidRPr="00632D3F" w:rsidRDefault="00DB11A4" w:rsidP="00DB11A4">
      <w:pPr>
        <w:rPr>
          <w:rStyle w:val="normaltextrun"/>
          <w:rFonts w:ascii="Verdana" w:hAnsi="Verdana"/>
          <w:color w:val="808080" w:themeColor="background1" w:themeShade="80"/>
          <w:sz w:val="20"/>
          <w:szCs w:val="20"/>
          <w:shd w:val="clear" w:color="auto" w:fill="FFFFFF"/>
          <w:lang w:val="en-CA"/>
        </w:rPr>
      </w:pPr>
      <w:r w:rsidRPr="006D429F">
        <w:rPr>
          <w:rFonts w:ascii="Verdana" w:hAnsi="Verdana" w:cs="Arial"/>
          <w:color w:val="000000"/>
        </w:rPr>
        <w:t xml:space="preserve">With a design life of 30,000+ hours of operation – or over one million miles in truck operation at typical duty cycles – the </w:t>
      </w:r>
      <w:proofErr w:type="spellStart"/>
      <w:r w:rsidRPr="006D429F">
        <w:rPr>
          <w:rFonts w:ascii="Verdana" w:hAnsi="Verdana" w:cs="Arial"/>
          <w:color w:val="000000"/>
        </w:rPr>
        <w:t>FCmove</w:t>
      </w:r>
      <w:proofErr w:type="spellEnd"/>
      <w:r w:rsidRPr="006D429F">
        <w:rPr>
          <w:rFonts w:ascii="Verdana" w:hAnsi="Verdana" w:cs="Arial"/>
          <w:color w:val="000000"/>
          <w:vertAlign w:val="superscript"/>
        </w:rPr>
        <w:t>®</w:t>
      </w:r>
      <w:r w:rsidRPr="006D429F">
        <w:rPr>
          <w:rFonts w:ascii="Verdana" w:hAnsi="Verdana" w:cs="Arial"/>
          <w:color w:val="000000"/>
        </w:rPr>
        <w:t>-XD is developed to deliver class-leading durability and low total cost of ownership, including a long driving range of 800km – subject to onboard hydrogen storage capacity.</w:t>
      </w:r>
    </w:p>
    <w:p w14:paraId="39A81F5C" w14:textId="77777777" w:rsidR="00DB11A4" w:rsidRPr="00632D3F" w:rsidRDefault="00DB11A4" w:rsidP="00DB11A4">
      <w:pPr>
        <w:jc w:val="center"/>
        <w:rPr>
          <w:rStyle w:val="normaltextrun"/>
          <w:rFonts w:ascii="Verdana" w:hAnsi="Verdana"/>
          <w:color w:val="808080" w:themeColor="background1" w:themeShade="80"/>
          <w:sz w:val="20"/>
          <w:szCs w:val="20"/>
          <w:shd w:val="clear" w:color="auto" w:fill="FFFFFF"/>
          <w:lang w:val="en-CA"/>
        </w:rPr>
      </w:pPr>
      <w:r w:rsidRPr="00632D3F">
        <w:rPr>
          <w:rStyle w:val="normaltextrun"/>
          <w:rFonts w:ascii="Verdana" w:hAnsi="Verdana"/>
          <w:noProof/>
          <w:color w:val="808080" w:themeColor="background1" w:themeShade="80"/>
          <w:sz w:val="20"/>
          <w:szCs w:val="20"/>
          <w:shd w:val="clear" w:color="auto" w:fill="FFFFFF"/>
          <w:lang w:val="en-CA"/>
        </w:rPr>
        <w:drawing>
          <wp:inline distT="0" distB="0" distL="0" distR="0" wp14:anchorId="01497C5D" wp14:editId="7B34B8C6">
            <wp:extent cx="3352800" cy="3352800"/>
            <wp:effectExtent l="0" t="0" r="0" b="0"/>
            <wp:docPr id="1636215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r w:rsidRPr="00632D3F">
        <w:rPr>
          <w:rStyle w:val="normaltextrun"/>
          <w:rFonts w:ascii="Verdana" w:hAnsi="Verdana"/>
          <w:color w:val="808080" w:themeColor="background1" w:themeShade="80"/>
          <w:sz w:val="20"/>
          <w:szCs w:val="20"/>
          <w:shd w:val="clear" w:color="auto" w:fill="FFFFFF"/>
          <w:lang w:val="en-CA"/>
        </w:rPr>
        <w:br/>
        <w:t xml:space="preserve">The </w:t>
      </w:r>
      <w:proofErr w:type="spellStart"/>
      <w:r w:rsidRPr="00632D3F">
        <w:rPr>
          <w:rStyle w:val="normaltextrun"/>
          <w:rFonts w:ascii="Verdana" w:hAnsi="Verdana"/>
          <w:color w:val="808080" w:themeColor="background1" w:themeShade="80"/>
          <w:sz w:val="20"/>
          <w:szCs w:val="20"/>
          <w:shd w:val="clear" w:color="auto" w:fill="FFFFFF"/>
          <w:lang w:val="en-CA"/>
        </w:rPr>
        <w:t>FCmove</w:t>
      </w:r>
      <w:proofErr w:type="spellEnd"/>
      <w:r w:rsidRPr="00632D3F">
        <w:rPr>
          <w:rStyle w:val="normaltextrun"/>
          <w:rFonts w:ascii="Verdana" w:hAnsi="Verdana"/>
          <w:color w:val="808080" w:themeColor="background1" w:themeShade="80"/>
          <w:sz w:val="20"/>
          <w:szCs w:val="20"/>
          <w:shd w:val="clear" w:color="auto" w:fill="FFFFFF"/>
          <w:vertAlign w:val="superscript"/>
          <w:lang w:val="en-CA"/>
        </w:rPr>
        <w:t>®</w:t>
      </w:r>
      <w:r w:rsidRPr="00632D3F">
        <w:rPr>
          <w:rStyle w:val="normaltextrun"/>
          <w:rFonts w:ascii="Verdana" w:hAnsi="Verdana"/>
          <w:color w:val="808080" w:themeColor="background1" w:themeShade="80"/>
          <w:sz w:val="20"/>
          <w:szCs w:val="20"/>
          <w:shd w:val="clear" w:color="auto" w:fill="FFFFFF"/>
          <w:lang w:val="en-CA"/>
        </w:rPr>
        <w:t>-XD’s scalable nature means a 240kW configuration can easily and conveniently be integrated into a Class 8 truck’s engine compartment</w:t>
      </w:r>
    </w:p>
    <w:p w14:paraId="01C7E165" w14:textId="77777777" w:rsidR="00DB11A4" w:rsidRPr="006D429F" w:rsidRDefault="00DB11A4" w:rsidP="00DB11A4">
      <w:pPr>
        <w:spacing w:after="480"/>
        <w:rPr>
          <w:rFonts w:ascii="Verdana" w:hAnsi="Verdana" w:cs="Arial"/>
          <w:color w:val="000000"/>
          <w:lang w:eastAsia="en-GB"/>
        </w:rPr>
      </w:pPr>
      <w:r w:rsidRPr="006D429F">
        <w:rPr>
          <w:rFonts w:ascii="Verdana" w:eastAsia="Times New Roman" w:hAnsi="Verdana" w:cs="Arial"/>
          <w:color w:val="000000"/>
          <w:kern w:val="0"/>
          <w:lang w:eastAsia="en-GB"/>
          <w14:ligatures w14:val="none"/>
        </w:rPr>
        <w:t xml:space="preserve">Enabled by the open architecture design and other new design advances, the powerful and compact </w:t>
      </w:r>
      <w:proofErr w:type="spellStart"/>
      <w:r w:rsidRPr="006D429F">
        <w:rPr>
          <w:rFonts w:ascii="Verdana" w:eastAsia="Times New Roman" w:hAnsi="Verdana" w:cs="Arial"/>
          <w:color w:val="000000"/>
          <w:kern w:val="0"/>
          <w:lang w:eastAsia="en-GB"/>
          <w14:ligatures w14:val="none"/>
        </w:rPr>
        <w:t>FCmove</w:t>
      </w:r>
      <w:proofErr w:type="spellEnd"/>
      <w:r w:rsidRPr="006D429F">
        <w:rPr>
          <w:rFonts w:ascii="Verdana" w:eastAsia="Times New Roman" w:hAnsi="Verdana" w:cs="Arial"/>
          <w:color w:val="000000"/>
          <w:kern w:val="0"/>
          <w:vertAlign w:val="superscript"/>
          <w:lang w:eastAsia="en-GB"/>
          <w14:ligatures w14:val="none"/>
        </w:rPr>
        <w:t>®</w:t>
      </w:r>
      <w:r w:rsidRPr="006D429F">
        <w:rPr>
          <w:rFonts w:ascii="Verdana" w:eastAsia="Times New Roman" w:hAnsi="Verdana" w:cs="Arial"/>
          <w:color w:val="000000"/>
          <w:kern w:val="0"/>
          <w:lang w:eastAsia="en-GB"/>
          <w14:ligatures w14:val="none"/>
        </w:rPr>
        <w:t>-XD module delivers several important performance improvements including:</w:t>
      </w:r>
    </w:p>
    <w:p w14:paraId="6C1E926A"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120kW power output from Ballard’s latest high-performance single stack</w:t>
      </w:r>
    </w:p>
    <w:p w14:paraId="6BE3EB96"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lastRenderedPageBreak/>
        <w:t>33% reduction in total parts count, significantly improving reliability and reducing costs</w:t>
      </w:r>
    </w:p>
    <w:p w14:paraId="21D1CCCF"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Ultra-high peak system efficiency at &gt;60%, enabling improved fuel consumption (lower total cost of ownership) and efficient heat rejection</w:t>
      </w:r>
    </w:p>
    <w:p w14:paraId="08AAE9A9"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Wide operating temperature range, up to 95°C</w:t>
      </w:r>
    </w:p>
    <w:p w14:paraId="1FD29E4F"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Integrated power controller incorporates DC/DC converter, air compressor inverter, and a power distribution unit, along with proprietary software controls, enables improved engine operation and efficiency</w:t>
      </w:r>
    </w:p>
    <w:p w14:paraId="6E101317"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Rapid up and down transient times, with an innovative hot stand-by mode enabling rapid power increase</w:t>
      </w:r>
    </w:p>
    <w:p w14:paraId="79B943C0"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Improved manufacturability with &gt;50% assembly time reduction</w:t>
      </w:r>
    </w:p>
    <w:p w14:paraId="53691A41" w14:textId="77777777" w:rsidR="00DB11A4" w:rsidRPr="006D429F" w:rsidRDefault="00DB11A4" w:rsidP="00DB11A4">
      <w:pPr>
        <w:numPr>
          <w:ilvl w:val="0"/>
          <w:numId w:val="1"/>
        </w:numPr>
        <w:spacing w:before="100" w:beforeAutospacing="1" w:after="100" w:afterAutospacing="1" w:line="240" w:lineRule="auto"/>
        <w:ind w:left="1020"/>
        <w:rPr>
          <w:rFonts w:ascii="Verdana" w:eastAsia="Times New Roman" w:hAnsi="Verdana" w:cs="Arial"/>
          <w:color w:val="000000"/>
          <w:kern w:val="0"/>
          <w:lang w:eastAsia="en-GB"/>
          <w14:ligatures w14:val="none"/>
        </w:rPr>
      </w:pPr>
      <w:r w:rsidRPr="006D429F">
        <w:rPr>
          <w:rFonts w:ascii="Verdana" w:eastAsia="Times New Roman" w:hAnsi="Verdana" w:cs="Arial"/>
          <w:color w:val="000000"/>
          <w:kern w:val="0"/>
          <w:lang w:eastAsia="en-GB"/>
          <w14:ligatures w14:val="none"/>
        </w:rPr>
        <w:t>Compliance with applicable safety codes and standards</w:t>
      </w:r>
    </w:p>
    <w:p w14:paraId="0221130C" w14:textId="77777777" w:rsidR="00DB11A4" w:rsidRPr="006D429F" w:rsidRDefault="00DB11A4" w:rsidP="00DB11A4">
      <w:pPr>
        <w:rPr>
          <w:rStyle w:val="normaltextrun"/>
          <w:rFonts w:ascii="Verdana" w:hAnsi="Verdana"/>
          <w:shd w:val="clear" w:color="auto" w:fill="FFFFFF"/>
          <w:lang w:val="en-CA"/>
        </w:rPr>
      </w:pPr>
      <w:r w:rsidRPr="006D429F">
        <w:rPr>
          <w:rFonts w:ascii="Verdana" w:hAnsi="Verdana" w:cs="Arial"/>
          <w:color w:val="000000"/>
        </w:rPr>
        <w:t xml:space="preserve">“We are laser focused on strengthening the economic value proposition for our heavy-duty mobility customers,” concludes Mucciacciaro. “With the unveiling of our ninth generation of fuel cell module, the </w:t>
      </w:r>
      <w:proofErr w:type="spellStart"/>
      <w:r w:rsidRPr="006D429F">
        <w:rPr>
          <w:rFonts w:ascii="Verdana" w:hAnsi="Verdana" w:cs="Arial"/>
          <w:color w:val="000000"/>
        </w:rPr>
        <w:t>FCmove</w:t>
      </w:r>
      <w:proofErr w:type="spellEnd"/>
      <w:r w:rsidRPr="006D429F">
        <w:rPr>
          <w:rFonts w:ascii="Verdana" w:hAnsi="Verdana" w:cs="Arial"/>
          <w:color w:val="000000"/>
          <w:vertAlign w:val="superscript"/>
        </w:rPr>
        <w:t>®</w:t>
      </w:r>
      <w:r w:rsidRPr="006D429F">
        <w:rPr>
          <w:rFonts w:ascii="Verdana" w:hAnsi="Verdana" w:cs="Arial"/>
          <w:color w:val="000000"/>
        </w:rPr>
        <w:t xml:space="preserve">-XD </w:t>
      </w:r>
      <w:r w:rsidRPr="006D429F">
        <w:rPr>
          <w:rStyle w:val="normaltextrun"/>
          <w:rFonts w:ascii="Verdana" w:hAnsi="Verdana"/>
          <w:shd w:val="clear" w:color="auto" w:fill="FFFFFF"/>
          <w:lang w:val="en-CA"/>
        </w:rPr>
        <w:t>is developed for volume production and deployment to deliver competitive CAPEX and total cost of ownership values across heavy-duty truck segments.”</w:t>
      </w:r>
    </w:p>
    <w:p w14:paraId="49E46842" w14:textId="77777777" w:rsidR="00DB11A4" w:rsidRPr="006D429F" w:rsidRDefault="00DB11A4" w:rsidP="00DB11A4">
      <w:pPr>
        <w:rPr>
          <w:rStyle w:val="normaltextrun"/>
          <w:rFonts w:ascii="Verdana" w:hAnsi="Verdana"/>
          <w:color w:val="808080" w:themeColor="background1" w:themeShade="80"/>
          <w:shd w:val="clear" w:color="auto" w:fill="FFFFFF"/>
          <w:lang w:val="en-CA"/>
        </w:rPr>
      </w:pPr>
    </w:p>
    <w:p w14:paraId="5A808EF5" w14:textId="77777777" w:rsidR="00DB11A4" w:rsidRPr="006D429F" w:rsidRDefault="00DB11A4" w:rsidP="00DB11A4">
      <w:pPr>
        <w:pStyle w:val="BodyText3"/>
        <w:rPr>
          <w:rFonts w:ascii="Verdana" w:hAnsi="Verdana"/>
          <w:b/>
          <w:bCs/>
          <w:sz w:val="22"/>
          <w:szCs w:val="22"/>
        </w:rPr>
      </w:pPr>
      <w:r w:rsidRPr="006D429F">
        <w:rPr>
          <w:rFonts w:ascii="Verdana" w:hAnsi="Verdana"/>
          <w:b/>
          <w:bCs/>
          <w:sz w:val="22"/>
          <w:szCs w:val="22"/>
        </w:rPr>
        <w:t>About Ballard Power Systems</w:t>
      </w:r>
    </w:p>
    <w:p w14:paraId="10F93BD3" w14:textId="77777777" w:rsidR="00DB11A4" w:rsidRDefault="00DB11A4" w:rsidP="00DB11A4">
      <w:pPr>
        <w:rPr>
          <w:rFonts w:ascii="Verdana" w:hAnsi="Verdana"/>
          <w:bCs/>
        </w:rPr>
      </w:pPr>
      <w:r w:rsidRPr="006D429F">
        <w:rPr>
          <w:rFonts w:ascii="Verdana" w:hAnsi="Verdana"/>
          <w:bCs/>
        </w:rPr>
        <w:t xml:space="preserve">Ballard Power Systems’ (NASDAQ: BLDP; TSX: BLDP) vision is to deliver fuel cell power for a sustainable planet. Ballard zero-emission PEM fuel cells are enabling electrification of mobility, including buses, commercial trucks, trains, marine vessels, and stationary power. To learn more about Ballard, please visit </w:t>
      </w:r>
      <w:hyperlink r:id="rId8" w:history="1">
        <w:r w:rsidRPr="006D429F">
          <w:rPr>
            <w:rStyle w:val="Hyperlink"/>
            <w:rFonts w:ascii="Verdana" w:hAnsi="Verdana"/>
            <w:bCs/>
            <w:color w:val="auto"/>
          </w:rPr>
          <w:t>www.ballard.com</w:t>
        </w:r>
      </w:hyperlink>
      <w:r w:rsidRPr="006D429F">
        <w:rPr>
          <w:rFonts w:ascii="Verdana" w:hAnsi="Verdana"/>
          <w:bCs/>
        </w:rPr>
        <w:t>.</w:t>
      </w:r>
    </w:p>
    <w:p w14:paraId="5787A1D2" w14:textId="77777777" w:rsidR="00DB11A4" w:rsidRDefault="00DB11A4" w:rsidP="00DB11A4">
      <w:pPr>
        <w:rPr>
          <w:rFonts w:ascii="Verdana" w:hAnsi="Verdana"/>
          <w:bCs/>
        </w:rPr>
      </w:pPr>
    </w:p>
    <w:p w14:paraId="085EB16B" w14:textId="0EA1E829" w:rsidR="00DB11A4" w:rsidRDefault="00DB11A4" w:rsidP="00DB11A4">
      <w:pPr>
        <w:rPr>
          <w:rFonts w:ascii="Verdana" w:hAnsi="Verdana"/>
          <w:bCs/>
        </w:rPr>
      </w:pPr>
      <w:r>
        <w:rPr>
          <w:rFonts w:ascii="Verdana" w:hAnsi="Verdana"/>
          <w:bCs/>
        </w:rPr>
        <w:t>Media contacts:</w:t>
      </w:r>
    </w:p>
    <w:p w14:paraId="59C6D58E" w14:textId="0734F488" w:rsidR="00DB11A4" w:rsidRPr="00DB11A4" w:rsidRDefault="00DB11A4" w:rsidP="00DB11A4">
      <w:pPr>
        <w:spacing w:after="0" w:line="240" w:lineRule="auto"/>
        <w:rPr>
          <w:rFonts w:ascii="Verdana" w:hAnsi="Verdana"/>
          <w:b/>
        </w:rPr>
      </w:pPr>
      <w:r w:rsidRPr="00DB11A4">
        <w:rPr>
          <w:rFonts w:ascii="Verdana" w:hAnsi="Verdana"/>
          <w:b/>
        </w:rPr>
        <w:t>Jonna Christensen</w:t>
      </w:r>
    </w:p>
    <w:p w14:paraId="2964647C" w14:textId="4B3D6B26" w:rsidR="00DB11A4" w:rsidRDefault="00000000" w:rsidP="00DB11A4">
      <w:pPr>
        <w:spacing w:after="0" w:line="240" w:lineRule="auto"/>
        <w:rPr>
          <w:rFonts w:ascii="Verdana" w:hAnsi="Verdana"/>
          <w:bCs/>
        </w:rPr>
      </w:pPr>
      <w:hyperlink r:id="rId9" w:history="1">
        <w:r w:rsidR="00DB11A4" w:rsidRPr="00922E06">
          <w:rPr>
            <w:rStyle w:val="Hyperlink"/>
            <w:rFonts w:ascii="Verdana" w:hAnsi="Verdana"/>
            <w:bCs/>
          </w:rPr>
          <w:t>Jonna.christensen@ballard.com</w:t>
        </w:r>
      </w:hyperlink>
    </w:p>
    <w:p w14:paraId="1ED69BBA" w14:textId="1F1D60FA" w:rsidR="00DB11A4" w:rsidRDefault="00DB11A4" w:rsidP="00DB11A4">
      <w:pPr>
        <w:spacing w:after="0" w:line="240" w:lineRule="auto"/>
        <w:rPr>
          <w:rFonts w:ascii="Verdana" w:hAnsi="Verdana"/>
          <w:bCs/>
        </w:rPr>
      </w:pPr>
      <w:r>
        <w:rPr>
          <w:rFonts w:ascii="Verdana" w:hAnsi="Verdana"/>
          <w:bCs/>
        </w:rPr>
        <w:t>+44 7510 385820</w:t>
      </w:r>
    </w:p>
    <w:p w14:paraId="6E1C0E26" w14:textId="77777777" w:rsidR="00DB11A4" w:rsidRDefault="00DB11A4" w:rsidP="00DB11A4">
      <w:pPr>
        <w:spacing w:after="0" w:line="240" w:lineRule="auto"/>
        <w:rPr>
          <w:rFonts w:ascii="Verdana" w:hAnsi="Verdana"/>
          <w:bCs/>
        </w:rPr>
      </w:pPr>
    </w:p>
    <w:p w14:paraId="05D9BE80" w14:textId="183447BD" w:rsidR="00DB11A4" w:rsidRPr="00DB11A4" w:rsidRDefault="00DB11A4" w:rsidP="00DB11A4">
      <w:pPr>
        <w:spacing w:after="0" w:line="240" w:lineRule="auto"/>
        <w:rPr>
          <w:rFonts w:ascii="Verdana" w:hAnsi="Verdana"/>
          <w:b/>
        </w:rPr>
      </w:pPr>
      <w:r w:rsidRPr="00DB11A4">
        <w:rPr>
          <w:rFonts w:ascii="Verdana" w:hAnsi="Verdana"/>
          <w:b/>
        </w:rPr>
        <w:t>Thomas Davies</w:t>
      </w:r>
    </w:p>
    <w:p w14:paraId="22CF97D4" w14:textId="29950967" w:rsidR="00DB11A4" w:rsidRPr="00710201" w:rsidRDefault="00000000" w:rsidP="00DB11A4">
      <w:pPr>
        <w:spacing w:after="0" w:line="240" w:lineRule="auto"/>
        <w:rPr>
          <w:rFonts w:ascii="Verdana" w:hAnsi="Verdana"/>
          <w:bCs/>
          <w:color w:val="0000FF"/>
          <w:u w:val="single"/>
        </w:rPr>
      </w:pPr>
      <w:hyperlink r:id="rId10" w:history="1">
        <w:r w:rsidR="00DB11A4" w:rsidRPr="00922E06">
          <w:rPr>
            <w:rStyle w:val="Hyperlink"/>
            <w:rFonts w:ascii="Verdana" w:hAnsi="Verdana"/>
            <w:bCs/>
          </w:rPr>
          <w:t>Thomas.davies@ballard.com</w:t>
        </w:r>
      </w:hyperlink>
      <w:r w:rsidR="00710201">
        <w:rPr>
          <w:rStyle w:val="Hyperlink"/>
          <w:rFonts w:ascii="Verdana" w:hAnsi="Verdana"/>
          <w:bCs/>
        </w:rPr>
        <w:br/>
      </w:r>
      <w:r w:rsidR="00710201">
        <w:rPr>
          <w:rFonts w:ascii="Verdana" w:hAnsi="Verdana"/>
          <w:bCs/>
        </w:rPr>
        <w:t>+44 7851 478656</w:t>
      </w:r>
    </w:p>
    <w:p w14:paraId="68FE26B4" w14:textId="77777777" w:rsidR="00DB11A4" w:rsidRPr="006D429F" w:rsidRDefault="00DB11A4" w:rsidP="00DB11A4">
      <w:pPr>
        <w:spacing w:after="0" w:line="240" w:lineRule="auto"/>
        <w:rPr>
          <w:rFonts w:ascii="Verdana" w:hAnsi="Verdana"/>
          <w:bCs/>
        </w:rPr>
      </w:pPr>
    </w:p>
    <w:p w14:paraId="4478D9EE" w14:textId="77777777" w:rsidR="00DB11A4" w:rsidRDefault="00DB11A4" w:rsidP="00DB11A4">
      <w:pPr>
        <w:spacing w:after="0" w:line="240" w:lineRule="auto"/>
      </w:pPr>
    </w:p>
    <w:p w14:paraId="180ECFF4" w14:textId="77777777" w:rsidR="00DB11A4" w:rsidRDefault="00DB11A4"/>
    <w:sectPr w:rsidR="00DB11A4" w:rsidSect="00DB11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241E4"/>
    <w:multiLevelType w:val="multilevel"/>
    <w:tmpl w:val="245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434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B11A4"/>
    <w:rsid w:val="00710201"/>
    <w:rsid w:val="008020BC"/>
    <w:rsid w:val="00C050EC"/>
    <w:rsid w:val="00DB11A4"/>
    <w:rsid w:val="00EF0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1532"/>
  <w15:chartTrackingRefBased/>
  <w15:docId w15:val="{3B3C1093-EE54-4BC7-B024-D1F51074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11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11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11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11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11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1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11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11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11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11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1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1A4"/>
    <w:rPr>
      <w:rFonts w:eastAsiaTheme="majorEastAsia" w:cstheme="majorBidi"/>
      <w:color w:val="272727" w:themeColor="text1" w:themeTint="D8"/>
    </w:rPr>
  </w:style>
  <w:style w:type="paragraph" w:styleId="Title">
    <w:name w:val="Title"/>
    <w:basedOn w:val="Normal"/>
    <w:next w:val="Normal"/>
    <w:link w:val="TitleChar"/>
    <w:uiPriority w:val="10"/>
    <w:qFormat/>
    <w:rsid w:val="00DB1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1A4"/>
    <w:pPr>
      <w:spacing w:before="160"/>
      <w:jc w:val="center"/>
    </w:pPr>
    <w:rPr>
      <w:i/>
      <w:iCs/>
      <w:color w:val="404040" w:themeColor="text1" w:themeTint="BF"/>
    </w:rPr>
  </w:style>
  <w:style w:type="character" w:customStyle="1" w:styleId="QuoteChar">
    <w:name w:val="Quote Char"/>
    <w:basedOn w:val="DefaultParagraphFont"/>
    <w:link w:val="Quote"/>
    <w:uiPriority w:val="29"/>
    <w:rsid w:val="00DB11A4"/>
    <w:rPr>
      <w:i/>
      <w:iCs/>
      <w:color w:val="404040" w:themeColor="text1" w:themeTint="BF"/>
    </w:rPr>
  </w:style>
  <w:style w:type="paragraph" w:styleId="ListParagraph">
    <w:name w:val="List Paragraph"/>
    <w:basedOn w:val="Normal"/>
    <w:uiPriority w:val="34"/>
    <w:qFormat/>
    <w:rsid w:val="00DB11A4"/>
    <w:pPr>
      <w:ind w:left="720"/>
      <w:contextualSpacing/>
    </w:pPr>
  </w:style>
  <w:style w:type="character" w:styleId="IntenseEmphasis">
    <w:name w:val="Intense Emphasis"/>
    <w:basedOn w:val="DefaultParagraphFont"/>
    <w:uiPriority w:val="21"/>
    <w:qFormat/>
    <w:rsid w:val="00DB11A4"/>
    <w:rPr>
      <w:i/>
      <w:iCs/>
      <w:color w:val="2F5496" w:themeColor="accent1" w:themeShade="BF"/>
    </w:rPr>
  </w:style>
  <w:style w:type="paragraph" w:styleId="IntenseQuote">
    <w:name w:val="Intense Quote"/>
    <w:basedOn w:val="Normal"/>
    <w:next w:val="Normal"/>
    <w:link w:val="IntenseQuoteChar"/>
    <w:uiPriority w:val="30"/>
    <w:qFormat/>
    <w:rsid w:val="00DB1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11A4"/>
    <w:rPr>
      <w:i/>
      <w:iCs/>
      <w:color w:val="2F5496" w:themeColor="accent1" w:themeShade="BF"/>
    </w:rPr>
  </w:style>
  <w:style w:type="character" w:styleId="IntenseReference">
    <w:name w:val="Intense Reference"/>
    <w:basedOn w:val="DefaultParagraphFont"/>
    <w:uiPriority w:val="32"/>
    <w:qFormat/>
    <w:rsid w:val="00DB11A4"/>
    <w:rPr>
      <w:b/>
      <w:bCs/>
      <w:smallCaps/>
      <w:color w:val="2F5496" w:themeColor="accent1" w:themeShade="BF"/>
      <w:spacing w:val="5"/>
    </w:rPr>
  </w:style>
  <w:style w:type="table" w:styleId="TableGrid">
    <w:name w:val="Table Grid"/>
    <w:basedOn w:val="TableNormal"/>
    <w:uiPriority w:val="39"/>
    <w:rsid w:val="00DB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B11A4"/>
    <w:pPr>
      <w:tabs>
        <w:tab w:val="center" w:pos="4320"/>
        <w:tab w:val="right" w:pos="8640"/>
      </w:tabs>
      <w:spacing w:after="0" w:line="240" w:lineRule="auto"/>
    </w:pPr>
    <w:rPr>
      <w:rFonts w:ascii="Times New Roman" w:eastAsia="Times New Roman" w:hAnsi="Times New Roman" w:cs="Times New Roman"/>
      <w:kern w:val="0"/>
      <w:sz w:val="20"/>
      <w:szCs w:val="20"/>
      <w:lang w:val="en-US"/>
    </w:rPr>
  </w:style>
  <w:style w:type="character" w:customStyle="1" w:styleId="HeaderChar">
    <w:name w:val="Header Char"/>
    <w:basedOn w:val="DefaultParagraphFont"/>
    <w:link w:val="Header"/>
    <w:uiPriority w:val="99"/>
    <w:rsid w:val="00DB11A4"/>
    <w:rPr>
      <w:rFonts w:ascii="Times New Roman" w:eastAsia="Times New Roman" w:hAnsi="Times New Roman" w:cs="Times New Roman"/>
      <w:kern w:val="0"/>
      <w:sz w:val="20"/>
      <w:szCs w:val="20"/>
      <w:lang w:val="en-US"/>
    </w:rPr>
  </w:style>
  <w:style w:type="paragraph" w:styleId="BodyText3">
    <w:name w:val="Body Text 3"/>
    <w:basedOn w:val="Normal"/>
    <w:link w:val="BodyText3Char"/>
    <w:uiPriority w:val="99"/>
    <w:semiHidden/>
    <w:unhideWhenUsed/>
    <w:rsid w:val="00DB11A4"/>
    <w:pPr>
      <w:spacing w:after="120"/>
    </w:pPr>
    <w:rPr>
      <w:sz w:val="16"/>
      <w:szCs w:val="16"/>
    </w:rPr>
  </w:style>
  <w:style w:type="character" w:customStyle="1" w:styleId="BodyText3Char">
    <w:name w:val="Body Text 3 Char"/>
    <w:basedOn w:val="DefaultParagraphFont"/>
    <w:link w:val="BodyText3"/>
    <w:uiPriority w:val="99"/>
    <w:semiHidden/>
    <w:rsid w:val="00DB11A4"/>
    <w:rPr>
      <w:sz w:val="16"/>
      <w:szCs w:val="16"/>
    </w:rPr>
  </w:style>
  <w:style w:type="character" w:styleId="Hyperlink">
    <w:name w:val="Hyperlink"/>
    <w:rsid w:val="00DB11A4"/>
    <w:rPr>
      <w:color w:val="0000FF"/>
      <w:u w:val="single"/>
    </w:rPr>
  </w:style>
  <w:style w:type="character" w:customStyle="1" w:styleId="normaltextrun">
    <w:name w:val="normaltextrun"/>
    <w:basedOn w:val="DefaultParagraphFont"/>
    <w:rsid w:val="00DB11A4"/>
  </w:style>
  <w:style w:type="character" w:styleId="UnresolvedMention">
    <w:name w:val="Unresolved Mention"/>
    <w:basedOn w:val="DefaultParagraphFont"/>
    <w:uiPriority w:val="99"/>
    <w:semiHidden/>
    <w:unhideWhenUsed/>
    <w:rsid w:val="00DB1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ard.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homas.davies@ballard.com" TargetMode="External"/><Relationship Id="rId4" Type="http://schemas.openxmlformats.org/officeDocument/2006/relationships/webSettings" Target="webSettings.xml"/><Relationship Id="rId9" Type="http://schemas.openxmlformats.org/officeDocument/2006/relationships/hyperlink" Target="mailto:Jonna.christensen@ball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Jonna</dc:creator>
  <cp:keywords/>
  <dc:description/>
  <cp:lastModifiedBy>Davies, Thomas</cp:lastModifiedBy>
  <cp:revision>2</cp:revision>
  <cp:lastPrinted>2024-08-21T10:26:00Z</cp:lastPrinted>
  <dcterms:created xsi:type="dcterms:W3CDTF">2024-08-21T10:27:00Z</dcterms:created>
  <dcterms:modified xsi:type="dcterms:W3CDTF">2024-08-21T10:27:00Z</dcterms:modified>
</cp:coreProperties>
</file>