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2846" w14:textId="77777777" w:rsidR="00956FE3" w:rsidRPr="00A65D2C" w:rsidRDefault="00956FE3" w:rsidP="00956FE3">
      <w:pPr>
        <w:pStyle w:val="paragraph"/>
        <w:spacing w:before="0" w:beforeAutospacing="0" w:after="0" w:afterAutospacing="0"/>
        <w:textAlignment w:val="baseline"/>
        <w:rPr>
          <w:rFonts w:ascii="Inter Light" w:hAnsi="Inter Light" w:cs="Segoe UI"/>
          <w:sz w:val="18"/>
          <w:szCs w:val="18"/>
          <w:lang w:val="nl-NL"/>
        </w:rPr>
      </w:pPr>
      <w:r w:rsidRPr="00A65D2C">
        <w:rPr>
          <w:rStyle w:val="normaltextrun"/>
          <w:rFonts w:ascii="Inter Light" w:hAnsi="Inter Light" w:cs="Calibri"/>
          <w:sz w:val="22"/>
          <w:szCs w:val="22"/>
          <w:lang w:val="nl-NL"/>
        </w:rPr>
        <w:t> </w:t>
      </w:r>
      <w:r w:rsidRPr="00A65D2C">
        <w:rPr>
          <w:rStyle w:val="eop"/>
          <w:rFonts w:ascii="Inter Light" w:hAnsi="Inter Light" w:cs="Calibri"/>
          <w:sz w:val="22"/>
          <w:szCs w:val="22"/>
          <w:lang w:val="nl-NL"/>
        </w:rPr>
        <w:t> </w:t>
      </w:r>
    </w:p>
    <w:p w14:paraId="6842EE54" w14:textId="5C91E775" w:rsidR="00956FE3" w:rsidRPr="00A65D2C" w:rsidRDefault="00956FE3" w:rsidP="49DB06C1">
      <w:pPr>
        <w:spacing w:after="0" w:line="240" w:lineRule="auto"/>
        <w:textAlignment w:val="baseline"/>
        <w:rPr>
          <w:rFonts w:ascii="Inter Light" w:hAnsi="Inter Light" w:cs="Segoe UI"/>
          <w:sz w:val="18"/>
          <w:szCs w:val="18"/>
          <w:lang w:val="nl-NL"/>
        </w:rPr>
      </w:pPr>
      <w:r w:rsidRPr="00A65D2C">
        <w:rPr>
          <w:rFonts w:ascii="Inter Light" w:hAnsi="Inter Light"/>
          <w:lang w:val="nl-NL"/>
        </w:rPr>
        <w:br/>
      </w:r>
      <w:r w:rsidRPr="00A65D2C">
        <w:rPr>
          <w:rStyle w:val="normaltextrun"/>
          <w:rFonts w:ascii="Inter Light" w:hAnsi="Inter Light" w:cs="Calibri"/>
          <w:lang w:val="nl-NL"/>
        </w:rPr>
        <w:t> </w:t>
      </w:r>
      <w:r w:rsidRPr="00A65D2C">
        <w:rPr>
          <w:rStyle w:val="eop"/>
          <w:rFonts w:ascii="Inter Light" w:hAnsi="Inter Light" w:cs="Calibri"/>
          <w:lang w:val="nl-NL"/>
        </w:rPr>
        <w:t> </w:t>
      </w:r>
    </w:p>
    <w:p w14:paraId="6ABDF1BE" w14:textId="77777777" w:rsidR="00956FE3" w:rsidRPr="00A65D2C" w:rsidRDefault="00956FE3" w:rsidP="00956FE3">
      <w:pPr>
        <w:pStyle w:val="paragraph"/>
        <w:spacing w:before="0" w:beforeAutospacing="0" w:after="0" w:afterAutospacing="0"/>
        <w:textAlignment w:val="baseline"/>
        <w:rPr>
          <w:rFonts w:ascii="Inter Light" w:hAnsi="Inter Light" w:cs="Segoe UI"/>
          <w:sz w:val="18"/>
          <w:szCs w:val="18"/>
          <w:lang w:val="nl-NL"/>
        </w:rPr>
      </w:pPr>
      <w:r w:rsidRPr="00A65D2C">
        <w:rPr>
          <w:rStyle w:val="normaltextrun"/>
          <w:rFonts w:ascii="Inter Light" w:hAnsi="Inter Light" w:cs="Calibri"/>
          <w:sz w:val="22"/>
          <w:szCs w:val="22"/>
          <w:lang w:val="nl-NL"/>
        </w:rPr>
        <w:t> </w:t>
      </w:r>
      <w:r w:rsidRPr="00A65D2C">
        <w:rPr>
          <w:rStyle w:val="eop"/>
          <w:rFonts w:ascii="Inter Light" w:hAnsi="Inter Light" w:cs="Calibri"/>
          <w:sz w:val="22"/>
          <w:szCs w:val="22"/>
          <w:lang w:val="nl-NL"/>
        </w:rPr>
        <w:t> </w:t>
      </w:r>
    </w:p>
    <w:p w14:paraId="13EFEF13" w14:textId="655E5B48" w:rsidR="00956FE3" w:rsidRPr="00A65D2C" w:rsidRDefault="004E7E93" w:rsidP="00956FE3">
      <w:pPr>
        <w:pStyle w:val="paragraph"/>
        <w:spacing w:before="0" w:beforeAutospacing="0" w:after="0" w:afterAutospacing="0"/>
        <w:jc w:val="right"/>
        <w:textAlignment w:val="baseline"/>
        <w:rPr>
          <w:rFonts w:ascii="Inter Light" w:hAnsi="Inter Light" w:cs="Segoe UI"/>
          <w:sz w:val="18"/>
          <w:szCs w:val="18"/>
          <w:lang w:val="nl-NL"/>
        </w:rPr>
      </w:pPr>
      <w:r w:rsidRPr="00A65D2C">
        <w:rPr>
          <w:rStyle w:val="normaltextrun"/>
          <w:rFonts w:ascii="Inter Light" w:hAnsi="Inter Light" w:cs="Calibri"/>
          <w:color w:val="000000"/>
          <w:sz w:val="22"/>
          <w:szCs w:val="22"/>
          <w:lang w:val="nl-NL"/>
        </w:rPr>
        <w:t>Steven MacEwan</w:t>
      </w:r>
    </w:p>
    <w:p w14:paraId="76B378B3" w14:textId="355D41E1" w:rsidR="00956FE3" w:rsidRPr="00A65D2C" w:rsidRDefault="00000000" w:rsidP="00956FE3">
      <w:pPr>
        <w:pStyle w:val="paragraph"/>
        <w:spacing w:before="0" w:beforeAutospacing="0" w:after="0" w:afterAutospacing="0"/>
        <w:jc w:val="right"/>
        <w:textAlignment w:val="baseline"/>
        <w:rPr>
          <w:rFonts w:ascii="Inter Light" w:hAnsi="Inter Light" w:cs="Segoe UI"/>
          <w:sz w:val="18"/>
          <w:szCs w:val="18"/>
          <w:lang w:val="nl-NL"/>
        </w:rPr>
      </w:pPr>
      <w:hyperlink r:id="rId10" w:tgtFrame="_blank" w:history="1">
        <w:r w:rsidR="00956FE3" w:rsidRPr="00A65D2C">
          <w:rPr>
            <w:rStyle w:val="normaltextrun"/>
            <w:rFonts w:ascii="Inter Light" w:hAnsi="Inter Light" w:cs="Calibri"/>
            <w:color w:val="0563C1"/>
            <w:sz w:val="22"/>
            <w:szCs w:val="22"/>
            <w:u w:val="single"/>
            <w:lang w:val="nl-NL"/>
          </w:rPr>
          <w:t>media@nsf.org</w:t>
        </w:r>
      </w:hyperlink>
    </w:p>
    <w:p w14:paraId="5E2A7232" w14:textId="77777777" w:rsidR="00956FE3" w:rsidRPr="00345819" w:rsidRDefault="00956FE3" w:rsidP="00956FE3">
      <w:pPr>
        <w:pStyle w:val="paragraph"/>
        <w:spacing w:before="0" w:beforeAutospacing="0" w:after="0" w:afterAutospacing="0"/>
        <w:jc w:val="right"/>
        <w:textAlignment w:val="baseline"/>
        <w:rPr>
          <w:rFonts w:ascii="Inter Light" w:hAnsi="Inter Light" w:cs="Segoe UI"/>
          <w:sz w:val="18"/>
          <w:szCs w:val="18"/>
          <w:lang w:val="en-GB"/>
        </w:rPr>
      </w:pPr>
      <w:r w:rsidRPr="00345819">
        <w:rPr>
          <w:rStyle w:val="normaltextrun"/>
          <w:rFonts w:ascii="Inter Light" w:hAnsi="Inter Light" w:cs="Calibri"/>
          <w:color w:val="0563C1"/>
          <w:sz w:val="22"/>
          <w:szCs w:val="22"/>
          <w:lang w:val="en-GB"/>
        </w:rPr>
        <w:t> </w:t>
      </w:r>
      <w:r w:rsidRPr="00345819">
        <w:rPr>
          <w:rStyle w:val="eop"/>
          <w:rFonts w:ascii="Inter Light" w:hAnsi="Inter Light" w:cs="Calibri"/>
          <w:color w:val="0563C1"/>
          <w:sz w:val="22"/>
          <w:szCs w:val="22"/>
          <w:lang w:val="en-GB"/>
        </w:rPr>
        <w:t> </w:t>
      </w:r>
    </w:p>
    <w:p w14:paraId="1D6BDC15" w14:textId="77777777" w:rsidR="00956FE3" w:rsidRPr="00345819" w:rsidRDefault="00956FE3" w:rsidP="00956FE3">
      <w:pPr>
        <w:pStyle w:val="paragraph"/>
        <w:spacing w:before="0" w:beforeAutospacing="0" w:after="0" w:afterAutospacing="0"/>
        <w:jc w:val="center"/>
        <w:textAlignment w:val="baseline"/>
        <w:rPr>
          <w:rFonts w:ascii="Inter Light" w:hAnsi="Inter Light" w:cs="Segoe UI"/>
          <w:sz w:val="18"/>
          <w:szCs w:val="18"/>
          <w:lang w:val="en-GB"/>
        </w:rPr>
      </w:pPr>
      <w:r w:rsidRPr="00345819">
        <w:rPr>
          <w:rStyle w:val="normaltextrun"/>
          <w:rFonts w:ascii="Inter Light" w:hAnsi="Inter Light" w:cs="Calibri"/>
          <w:sz w:val="32"/>
          <w:szCs w:val="32"/>
          <w:lang w:val="en-GB"/>
        </w:rPr>
        <w:t> </w:t>
      </w:r>
      <w:r w:rsidRPr="00345819">
        <w:rPr>
          <w:rStyle w:val="eop"/>
          <w:rFonts w:ascii="Inter Light" w:hAnsi="Inter Light" w:cs="Calibri"/>
          <w:sz w:val="32"/>
          <w:szCs w:val="32"/>
          <w:lang w:val="en-GB"/>
        </w:rPr>
        <w:t> </w:t>
      </w:r>
    </w:p>
    <w:p w14:paraId="2E811091" w14:textId="7072CB88" w:rsidR="00565DD8" w:rsidRPr="00345819" w:rsidRDefault="006C0132" w:rsidP="1B2217F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Inter" w:hAnsi="Inter" w:cs="Calibri"/>
          <w:b/>
          <w:bCs/>
          <w:sz w:val="36"/>
          <w:szCs w:val="36"/>
          <w:lang w:val="en-GB"/>
        </w:rPr>
      </w:pPr>
      <w:r w:rsidRPr="00345819">
        <w:rPr>
          <w:rStyle w:val="normaltextrun"/>
          <w:rFonts w:ascii="Inter" w:hAnsi="Inter" w:cs="Calibri"/>
          <w:b/>
          <w:bCs/>
          <w:sz w:val="36"/>
          <w:szCs w:val="36"/>
          <w:lang w:val="en-GB"/>
        </w:rPr>
        <w:t xml:space="preserve">NSF </w:t>
      </w:r>
      <w:r w:rsidR="009300C3" w:rsidRPr="00345819">
        <w:rPr>
          <w:rStyle w:val="normaltextrun"/>
          <w:rFonts w:ascii="Inter" w:hAnsi="Inter" w:cs="Calibri"/>
          <w:b/>
          <w:bCs/>
          <w:sz w:val="36"/>
          <w:szCs w:val="36"/>
          <w:lang w:val="en-GB"/>
        </w:rPr>
        <w:t>Introduces</w:t>
      </w:r>
      <w:r w:rsidRPr="00345819">
        <w:rPr>
          <w:rStyle w:val="normaltextrun"/>
          <w:rFonts w:ascii="Inter" w:hAnsi="Inter" w:cs="Calibri"/>
          <w:b/>
          <w:bCs/>
          <w:sz w:val="36"/>
          <w:szCs w:val="36"/>
          <w:lang w:val="en-GB"/>
        </w:rPr>
        <w:t xml:space="preserve"> PFAS-Free Certification</w:t>
      </w:r>
    </w:p>
    <w:p w14:paraId="02CF61B4" w14:textId="34D5A782" w:rsidR="00B3450B" w:rsidRPr="00345819" w:rsidRDefault="000A7164" w:rsidP="00956F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Inter Light" w:hAnsi="Inter Light" w:cs="Calibri"/>
          <w:lang w:val="en-GB"/>
        </w:rPr>
      </w:pPr>
      <w:r w:rsidRPr="00345819">
        <w:rPr>
          <w:rStyle w:val="normaltextrun"/>
          <w:rFonts w:ascii="Inter Light" w:hAnsi="Inter Light" w:cs="Calibri"/>
          <w:lang w:val="en-GB"/>
        </w:rPr>
        <w:t xml:space="preserve">Manufacturers </w:t>
      </w:r>
      <w:r w:rsidR="009457F5" w:rsidRPr="00345819">
        <w:rPr>
          <w:rStyle w:val="normaltextrun"/>
          <w:rFonts w:ascii="Inter Light" w:hAnsi="Inter Light" w:cs="Calibri"/>
          <w:lang w:val="en-GB"/>
        </w:rPr>
        <w:t>of</w:t>
      </w:r>
      <w:r w:rsidRPr="00345819">
        <w:rPr>
          <w:rStyle w:val="normaltextrun"/>
          <w:rFonts w:ascii="Inter Light" w:hAnsi="Inter Light" w:cs="Calibri"/>
          <w:lang w:val="en-GB"/>
        </w:rPr>
        <w:t xml:space="preserve"> food </w:t>
      </w:r>
      <w:r w:rsidR="00747F9B" w:rsidRPr="00345819">
        <w:rPr>
          <w:rStyle w:val="normaltextrun"/>
          <w:rFonts w:ascii="Inter Light" w:hAnsi="Inter Light" w:cs="Calibri"/>
          <w:lang w:val="en-GB"/>
        </w:rPr>
        <w:t>equipment</w:t>
      </w:r>
      <w:r w:rsidRPr="00345819">
        <w:rPr>
          <w:rStyle w:val="normaltextrun"/>
          <w:rFonts w:ascii="Inter Light" w:hAnsi="Inter Light" w:cs="Calibri"/>
          <w:lang w:val="en-GB"/>
        </w:rPr>
        <w:t xml:space="preserve"> materials, </w:t>
      </w:r>
      <w:proofErr w:type="spellStart"/>
      <w:r w:rsidRPr="00345819">
        <w:rPr>
          <w:rStyle w:val="normaltextrun"/>
          <w:rFonts w:ascii="Inter Light" w:hAnsi="Inter Light" w:cs="Calibri"/>
          <w:lang w:val="en-GB"/>
        </w:rPr>
        <w:t>nonfood</w:t>
      </w:r>
      <w:proofErr w:type="spellEnd"/>
      <w:r w:rsidRPr="00345819">
        <w:rPr>
          <w:rStyle w:val="normaltextrun"/>
          <w:rFonts w:ascii="Inter Light" w:hAnsi="Inter Light" w:cs="Calibri"/>
          <w:lang w:val="en-GB"/>
        </w:rPr>
        <w:t xml:space="preserve"> compounds and chemicals can now</w:t>
      </w:r>
      <w:r w:rsidR="008957AB" w:rsidRPr="00345819">
        <w:rPr>
          <w:rStyle w:val="normaltextrun"/>
          <w:rFonts w:ascii="Inter Light" w:hAnsi="Inter Light" w:cs="Calibri"/>
          <w:lang w:val="en-GB"/>
        </w:rPr>
        <w:t xml:space="preserve"> certify </w:t>
      </w:r>
      <w:r w:rsidR="00377FB4" w:rsidRPr="00345819">
        <w:rPr>
          <w:rStyle w:val="normaltextrun"/>
          <w:rFonts w:ascii="Inter Light" w:hAnsi="Inter Light" w:cs="Calibri"/>
          <w:lang w:val="en-GB"/>
        </w:rPr>
        <w:t xml:space="preserve">their </w:t>
      </w:r>
      <w:r w:rsidR="008957AB" w:rsidRPr="00345819">
        <w:rPr>
          <w:rStyle w:val="normaltextrun"/>
          <w:rFonts w:ascii="Inter Light" w:hAnsi="Inter Light" w:cs="Calibri"/>
          <w:lang w:val="en-GB"/>
        </w:rPr>
        <w:t>products</w:t>
      </w:r>
      <w:r w:rsidR="00183BBC" w:rsidRPr="00345819">
        <w:rPr>
          <w:rStyle w:val="normaltextrun"/>
          <w:rFonts w:ascii="Inter Light" w:hAnsi="Inter Light" w:cs="Calibri"/>
          <w:lang w:val="en-GB"/>
        </w:rPr>
        <w:t xml:space="preserve"> </w:t>
      </w:r>
      <w:r w:rsidR="003B739F" w:rsidRPr="00345819">
        <w:rPr>
          <w:rStyle w:val="normaltextrun"/>
          <w:rFonts w:ascii="Inter Light" w:hAnsi="Inter Light" w:cs="Calibri"/>
          <w:lang w:val="en-GB"/>
        </w:rPr>
        <w:t>to</w:t>
      </w:r>
      <w:r w:rsidR="00183BBC" w:rsidRPr="00345819">
        <w:rPr>
          <w:rStyle w:val="normaltextrun"/>
          <w:rFonts w:ascii="Inter Light" w:hAnsi="Inter Light" w:cs="Calibri"/>
          <w:lang w:val="en-GB"/>
        </w:rPr>
        <w:t xml:space="preserve"> NSF’s PFAS-Free </w:t>
      </w:r>
      <w:r w:rsidR="003E4773" w:rsidRPr="00345819">
        <w:rPr>
          <w:rStyle w:val="normaltextrun"/>
          <w:rFonts w:ascii="Inter Light" w:hAnsi="Inter Light" w:cs="Calibri"/>
          <w:lang w:val="en-GB"/>
        </w:rPr>
        <w:t>guideline</w:t>
      </w:r>
      <w:r w:rsidR="008957AB" w:rsidRPr="00345819">
        <w:rPr>
          <w:rStyle w:val="normaltextrun"/>
          <w:rFonts w:ascii="Inter Light" w:hAnsi="Inter Light" w:cs="Calibri"/>
          <w:lang w:val="en-GB"/>
        </w:rPr>
        <w:t xml:space="preserve">, demonstrating </w:t>
      </w:r>
      <w:r w:rsidR="00377FB4" w:rsidRPr="00345819">
        <w:rPr>
          <w:rStyle w:val="normaltextrun"/>
          <w:rFonts w:ascii="Inter Light" w:hAnsi="Inter Light" w:cs="Calibri"/>
          <w:lang w:val="en-GB"/>
        </w:rPr>
        <w:t>a</w:t>
      </w:r>
      <w:r w:rsidR="003E4773" w:rsidRPr="00345819">
        <w:rPr>
          <w:rStyle w:val="normaltextrun"/>
          <w:rFonts w:ascii="Inter Light" w:hAnsi="Inter Light" w:cs="Calibri"/>
          <w:lang w:val="en-GB"/>
        </w:rPr>
        <w:t xml:space="preserve"> </w:t>
      </w:r>
      <w:r w:rsidR="008957AB" w:rsidRPr="00345819">
        <w:rPr>
          <w:rStyle w:val="normaltextrun"/>
          <w:rFonts w:ascii="Inter Light" w:hAnsi="Inter Light" w:cs="Calibri"/>
          <w:lang w:val="en-GB"/>
        </w:rPr>
        <w:t xml:space="preserve">commitment to human </w:t>
      </w:r>
      <w:r w:rsidR="00882AF0" w:rsidRPr="00345819">
        <w:rPr>
          <w:rStyle w:val="normaltextrun"/>
          <w:rFonts w:ascii="Inter Light" w:hAnsi="Inter Light" w:cs="Calibri"/>
          <w:lang w:val="en-GB"/>
        </w:rPr>
        <w:t xml:space="preserve">and planet </w:t>
      </w:r>
      <w:r w:rsidR="008957AB" w:rsidRPr="00345819">
        <w:rPr>
          <w:rStyle w:val="normaltextrun"/>
          <w:rFonts w:ascii="Inter Light" w:hAnsi="Inter Light" w:cs="Calibri"/>
          <w:lang w:val="en-GB"/>
        </w:rPr>
        <w:t>health</w:t>
      </w:r>
      <w:r w:rsidR="00AA080E" w:rsidRPr="00345819">
        <w:rPr>
          <w:rStyle w:val="normaltextrun"/>
          <w:rFonts w:ascii="Inter Light" w:hAnsi="Inter Light" w:cs="Calibri"/>
          <w:lang w:val="en-GB"/>
        </w:rPr>
        <w:t>.</w:t>
      </w:r>
    </w:p>
    <w:p w14:paraId="5BA0DCEC" w14:textId="015620FD" w:rsidR="00956FE3" w:rsidRPr="00345819" w:rsidRDefault="00956FE3" w:rsidP="00E265DF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Inter Light" w:hAnsi="Inter Light" w:cs="Segoe UI"/>
          <w:sz w:val="18"/>
          <w:szCs w:val="18"/>
          <w:lang w:val="en-GB"/>
        </w:rPr>
      </w:pPr>
    </w:p>
    <w:p w14:paraId="182D177E" w14:textId="1E86E4D2" w:rsidR="00553CB6" w:rsidRPr="00345819" w:rsidRDefault="004E7E93" w:rsidP="008B4335">
      <w:pPr>
        <w:pStyle w:val="paragraph"/>
        <w:spacing w:after="0" w:line="276" w:lineRule="auto"/>
        <w:textAlignment w:val="baseline"/>
        <w:rPr>
          <w:rStyle w:val="normaltextrun"/>
          <w:rFonts w:ascii="Inter Light" w:hAnsi="Inter Light" w:cs="Calibri"/>
          <w:sz w:val="22"/>
          <w:szCs w:val="22"/>
          <w:lang w:val="en-GB"/>
        </w:rPr>
      </w:pPr>
      <w:r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>Oxford</w:t>
      </w:r>
      <w:r w:rsidR="001D3397"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 xml:space="preserve">, </w:t>
      </w:r>
      <w:r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>UK</w:t>
      </w:r>
      <w:r w:rsidR="001A7802"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 xml:space="preserve">, </w:t>
      </w:r>
      <w:r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>March</w:t>
      </w:r>
      <w:r w:rsidR="004F0779"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 xml:space="preserve"> </w:t>
      </w:r>
      <w:r w:rsidR="00A65D2C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>26</w:t>
      </w:r>
      <w:r w:rsidR="001D3397"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>, 202</w:t>
      </w:r>
      <w:r w:rsidR="00B15DA7"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>5</w:t>
      </w:r>
      <w:r w:rsidR="00BC764B"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 xml:space="preserve"> </w:t>
      </w:r>
      <w:r w:rsidR="00956FE3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–</w:t>
      </w:r>
      <w:r w:rsidR="00084D97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hyperlink r:id="rId11">
        <w:r w:rsidR="00423C30" w:rsidRPr="00345819">
          <w:rPr>
            <w:rStyle w:val="Hyperlink"/>
            <w:rFonts w:ascii="Inter Light" w:hAnsi="Inter Light" w:cs="Calibri"/>
            <w:sz w:val="22"/>
            <w:szCs w:val="22"/>
            <w:lang w:val="en-GB"/>
          </w:rPr>
          <w:t>NSF</w:t>
        </w:r>
      </w:hyperlink>
      <w:r w:rsidR="00423C30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, a leading</w:t>
      </w:r>
      <w:r w:rsidR="001C6529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global</w:t>
      </w:r>
      <w:r w:rsidR="00423C30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public health and safety organi</w:t>
      </w:r>
      <w:r w:rsidR="00345819">
        <w:rPr>
          <w:rStyle w:val="normaltextrun"/>
          <w:rFonts w:ascii="Inter Light" w:hAnsi="Inter Light" w:cs="Calibri"/>
          <w:sz w:val="22"/>
          <w:szCs w:val="22"/>
          <w:lang w:val="en-GB"/>
        </w:rPr>
        <w:t>s</w:t>
      </w:r>
      <w:r w:rsidR="00423C30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ation, 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today announced the launch of NSF Certification Guideline 537</w:t>
      </w:r>
      <w:r w:rsidR="00553CB6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: PFAS-</w:t>
      </w:r>
      <w:r w:rsidR="0038536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Free</w:t>
      </w:r>
      <w:r w:rsidR="00553CB6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Products for </w:t>
      </w:r>
      <w:proofErr w:type="spellStart"/>
      <w:r w:rsidR="00553CB6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Nonfoo</w:t>
      </w:r>
      <w:r w:rsidR="00397117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d</w:t>
      </w:r>
      <w:proofErr w:type="spellEnd"/>
      <w:r w:rsidR="00553CB6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Compounds and Food Equipment Materials</w:t>
      </w:r>
      <w:r w:rsidR="00A47470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(NSF 537)</w:t>
      </w:r>
      <w:r w:rsidR="00553CB6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. </w:t>
      </w:r>
      <w:r w:rsidR="00226C62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The new guideline</w:t>
      </w:r>
      <w:r w:rsidR="00882AF0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r w:rsidR="00B3789A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leverages NSF’s extensive laboratory and testing capabilities to confirm that products are free of </w:t>
      </w:r>
      <w:r w:rsidR="00AA2A20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per</w:t>
      </w:r>
      <w:r w:rsidR="00B3789A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- and </w:t>
      </w:r>
      <w:r w:rsidR="00AA2A20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polyfluoroalkyl</w:t>
      </w:r>
      <w:r w:rsidR="00B3789A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substances (PFAS), </w:t>
      </w:r>
      <w:r w:rsidR="00AA2A20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a group of synthetic or </w:t>
      </w:r>
      <w:r w:rsidR="00003134">
        <w:rPr>
          <w:rStyle w:val="normaltextrun"/>
          <w:rFonts w:ascii="Inter Light" w:hAnsi="Inter Light" w:cs="Calibri"/>
          <w:sz w:val="22"/>
          <w:szCs w:val="22"/>
          <w:lang w:val="en-GB"/>
        </w:rPr>
        <w:t>manufactured materials that resist degradation,</w:t>
      </w:r>
      <w:r w:rsidR="00AA2A20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r w:rsidR="00B3789A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also known as “forever chemicals.”</w:t>
      </w:r>
    </w:p>
    <w:p w14:paraId="5341C926" w14:textId="06908064" w:rsidR="00326126" w:rsidRPr="00345819" w:rsidRDefault="00700E76" w:rsidP="008B4335">
      <w:pPr>
        <w:pStyle w:val="paragraph"/>
        <w:spacing w:after="0" w:line="276" w:lineRule="auto"/>
        <w:textAlignment w:val="baseline"/>
        <w:rPr>
          <w:rStyle w:val="normaltextrun"/>
          <w:rFonts w:ascii="Inter Light" w:hAnsi="Inter Light" w:cs="Calibri"/>
          <w:sz w:val="22"/>
          <w:szCs w:val="22"/>
          <w:lang w:val="en-GB"/>
        </w:rPr>
      </w:pP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Due to their oil and water-</w:t>
      </w:r>
      <w:r w:rsidR="00345819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repellent</w:t>
      </w: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properties, PFAS are often used to make water or</w:t>
      </w:r>
      <w:r w:rsidR="00D050F9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stain-resistant, nonstick and grease-proof products, including consumer goods, food equipment and </w:t>
      </w:r>
      <w:proofErr w:type="spellStart"/>
      <w:r w:rsidR="00D050F9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nonfood</w:t>
      </w:r>
      <w:proofErr w:type="spellEnd"/>
      <w:r w:rsidR="00D050F9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compounds such as </w:t>
      </w:r>
      <w:r w:rsidR="002D6983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food-safe </w:t>
      </w:r>
      <w:r w:rsidR="00D050F9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lubricants, cleaners and saniti</w:t>
      </w:r>
      <w:r w:rsidR="00345819">
        <w:rPr>
          <w:rStyle w:val="normaltextrun"/>
          <w:rFonts w:ascii="Inter Light" w:hAnsi="Inter Light" w:cs="Calibri"/>
          <w:sz w:val="22"/>
          <w:szCs w:val="22"/>
          <w:lang w:val="en-GB"/>
        </w:rPr>
        <w:t>s</w:t>
      </w:r>
      <w:r w:rsidR="00D050F9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ers. </w:t>
      </w:r>
      <w:r w:rsidR="00E018EE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At the same time, PFAS are known to be carcinogenic and have been linked to detrimental health conditions, including liver disease, certain types of cancers and delayed development in children. </w:t>
      </w:r>
      <w:r w:rsidR="00990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According to the </w:t>
      </w:r>
      <w:hyperlink r:id="rId12" w:history="1">
        <w:r w:rsidR="00990335" w:rsidRPr="00345819">
          <w:rPr>
            <w:rStyle w:val="Hyperlink"/>
            <w:rFonts w:ascii="Inter Light" w:hAnsi="Inter Light" w:cs="Calibri"/>
            <w:sz w:val="22"/>
            <w:szCs w:val="22"/>
            <w:lang w:val="en-GB"/>
          </w:rPr>
          <w:t>National Institute of Environmental Health Sciences</w:t>
        </w:r>
      </w:hyperlink>
      <w:r w:rsidR="00990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, people are most likely exposed to PFAS by consuming contaminated water or food. </w:t>
      </w:r>
    </w:p>
    <w:p w14:paraId="451450C6" w14:textId="31DCDBF9" w:rsidR="008B4335" w:rsidRPr="00345819" w:rsidRDefault="008F44E5" w:rsidP="008B4335">
      <w:pPr>
        <w:pStyle w:val="paragraph"/>
        <w:spacing w:after="0" w:line="276" w:lineRule="auto"/>
        <w:textAlignment w:val="baseline"/>
        <w:rPr>
          <w:rStyle w:val="normaltextrun"/>
          <w:rFonts w:ascii="Inter Light" w:hAnsi="Inter Light" w:cs="Calibri"/>
          <w:sz w:val="22"/>
          <w:szCs w:val="22"/>
          <w:lang w:val="en-GB"/>
        </w:rPr>
      </w:pP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“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With growing concerns </w:t>
      </w:r>
      <w:r w:rsidR="009D7116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and new regulations being introduced on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PFAS in our environment and food supply, NSF 537 represents a significant leap forward in consumer safety and transparency,</w:t>
      </w: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”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said </w:t>
      </w:r>
      <w:r w:rsidR="000A6430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Sam Cole,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Director of </w:t>
      </w:r>
      <w:r w:rsidR="000A6430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Food Contact Evaluation at NSF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. </w:t>
      </w: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“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This certification will empower </w:t>
      </w:r>
      <w:r w:rsidR="005004D1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forward-thinking 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manufacturers to </w:t>
      </w:r>
      <w:r w:rsidR="00A47470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clearly distinguish PFAS-free products, giving both </w:t>
      </w:r>
      <w:r w:rsidR="00A0018F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retail</w:t>
      </w:r>
      <w:r w:rsidR="00E13609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and food </w:t>
      </w:r>
      <w:r w:rsidR="00A47470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businesses and consumers 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confidence </w:t>
      </w:r>
      <w:r w:rsidR="007D6579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and peace of mind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.</w:t>
      </w: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”</w:t>
      </w:r>
    </w:p>
    <w:p w14:paraId="34830211" w14:textId="5203818D" w:rsidR="008B4335" w:rsidRPr="00345819" w:rsidRDefault="008B4335" w:rsidP="008B4335">
      <w:pPr>
        <w:pStyle w:val="paragraph"/>
        <w:spacing w:after="0" w:line="276" w:lineRule="auto"/>
        <w:textAlignment w:val="baseline"/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</w:pPr>
      <w:r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 xml:space="preserve">Key </w:t>
      </w:r>
      <w:r w:rsidR="003B739F"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>f</w:t>
      </w:r>
      <w:r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>eatures of NSF Certification Guideline 537</w:t>
      </w:r>
      <w:r w:rsidR="0082144C"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>: PFAS-</w:t>
      </w:r>
      <w:r w:rsidR="007D6579"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>F</w:t>
      </w:r>
      <w:r w:rsidR="0082144C"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 xml:space="preserve">ree Products for </w:t>
      </w:r>
      <w:proofErr w:type="spellStart"/>
      <w:r w:rsidR="0082144C"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>Nonfood</w:t>
      </w:r>
      <w:proofErr w:type="spellEnd"/>
      <w:r w:rsidR="0082144C"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 xml:space="preserve"> Compounds and Food Equipment Materials (NSF 537)</w:t>
      </w:r>
      <w:r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>:</w:t>
      </w:r>
    </w:p>
    <w:p w14:paraId="688423E0" w14:textId="2EACE504" w:rsidR="007D6579" w:rsidRPr="00345819" w:rsidRDefault="007D6579" w:rsidP="00E91F6E">
      <w:pPr>
        <w:pStyle w:val="paragraph"/>
        <w:numPr>
          <w:ilvl w:val="0"/>
          <w:numId w:val="3"/>
        </w:numPr>
        <w:spacing w:after="0" w:line="276" w:lineRule="auto"/>
        <w:textAlignment w:val="baseline"/>
        <w:rPr>
          <w:rStyle w:val="normaltextrun"/>
          <w:rFonts w:ascii="Inter Light" w:hAnsi="Inter Light" w:cs="Calibri"/>
          <w:sz w:val="22"/>
          <w:szCs w:val="22"/>
          <w:lang w:val="en-GB"/>
        </w:rPr>
      </w:pPr>
      <w:r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>Evidence-</w:t>
      </w:r>
      <w:r w:rsidR="00AC332E"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>b</w:t>
      </w:r>
      <w:r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>ased:</w:t>
      </w: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r w:rsidR="00BE1696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The guideline is backed by decades of specialist food industry knowledge and standards development and is based on existing limits in regulations.</w:t>
      </w:r>
    </w:p>
    <w:p w14:paraId="0EE03181" w14:textId="6D6C22E9" w:rsidR="000A6430" w:rsidRPr="00345819" w:rsidRDefault="00C938F3" w:rsidP="00E91F6E">
      <w:pPr>
        <w:pStyle w:val="paragraph"/>
        <w:numPr>
          <w:ilvl w:val="0"/>
          <w:numId w:val="3"/>
        </w:numPr>
        <w:spacing w:after="0" w:line="276" w:lineRule="auto"/>
        <w:textAlignment w:val="baseline"/>
        <w:rPr>
          <w:rStyle w:val="normaltextrun"/>
          <w:rFonts w:ascii="Inter Light" w:hAnsi="Inter Light" w:cs="Calibri"/>
          <w:sz w:val="22"/>
          <w:szCs w:val="22"/>
          <w:lang w:val="en-GB"/>
        </w:rPr>
      </w:pPr>
      <w:r w:rsidRPr="00345819">
        <w:rPr>
          <w:rStyle w:val="normaltextrun"/>
          <w:rFonts w:ascii="Inter Light" w:hAnsi="Inter Light" w:cs="Calibri"/>
          <w:b/>
          <w:sz w:val="22"/>
          <w:szCs w:val="22"/>
          <w:lang w:val="en-GB"/>
        </w:rPr>
        <w:lastRenderedPageBreak/>
        <w:t>Thorough Formulation Review</w:t>
      </w:r>
      <w:r w:rsidR="008B4335" w:rsidRPr="00345819">
        <w:rPr>
          <w:rStyle w:val="normaltextrun"/>
          <w:rFonts w:ascii="Inter Light" w:hAnsi="Inter Light" w:cs="Calibri"/>
          <w:b/>
          <w:sz w:val="22"/>
          <w:szCs w:val="22"/>
          <w:lang w:val="en-GB"/>
        </w:rPr>
        <w:t>: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r w:rsidR="00A8356F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Technical review of product ingredients, confirming there are </w:t>
      </w:r>
      <w:proofErr w:type="gramStart"/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no</w:t>
      </w:r>
      <w:proofErr w:type="gramEnd"/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intentionally added PFAS</w:t>
      </w:r>
      <w:r w:rsidR="000A6430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.</w:t>
      </w:r>
    </w:p>
    <w:p w14:paraId="0C618BF3" w14:textId="107A25B6" w:rsidR="008B4335" w:rsidRPr="00345819" w:rsidRDefault="008B4335" w:rsidP="00E91F6E">
      <w:pPr>
        <w:pStyle w:val="paragraph"/>
        <w:numPr>
          <w:ilvl w:val="0"/>
          <w:numId w:val="3"/>
        </w:numPr>
        <w:spacing w:after="0" w:line="276" w:lineRule="auto"/>
        <w:textAlignment w:val="baseline"/>
        <w:rPr>
          <w:rStyle w:val="normaltextrun"/>
          <w:rFonts w:ascii="Inter Light" w:hAnsi="Inter Light" w:cs="Calibri"/>
          <w:sz w:val="22"/>
          <w:szCs w:val="22"/>
          <w:lang w:val="en-GB"/>
        </w:rPr>
      </w:pPr>
      <w:r w:rsidRPr="00345819">
        <w:rPr>
          <w:rStyle w:val="normaltextrun"/>
          <w:rFonts w:ascii="Inter Light" w:hAnsi="Inter Light" w:cs="Calibri"/>
          <w:b/>
          <w:sz w:val="22"/>
          <w:szCs w:val="22"/>
          <w:lang w:val="en-GB"/>
        </w:rPr>
        <w:t>Comprehensive Testing:</w:t>
      </w: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Ensures </w:t>
      </w:r>
      <w:r w:rsidR="003D1743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minimal </w:t>
      </w:r>
      <w:r w:rsidR="00170713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to no detected </w:t>
      </w:r>
      <w:r w:rsidR="000A7164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total organic fluorine (TOF) levels </w:t>
      </w:r>
      <w:r w:rsidR="003D1743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with</w:t>
      </w:r>
      <w:r w:rsidR="00C64DCB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yearly</w:t>
      </w:r>
      <w:r w:rsidR="003E03F4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retesting.</w:t>
      </w:r>
    </w:p>
    <w:p w14:paraId="2DF084BD" w14:textId="4DEFA922" w:rsidR="000A6430" w:rsidRPr="00345819" w:rsidRDefault="008B4335" w:rsidP="00E91F6E">
      <w:pPr>
        <w:pStyle w:val="paragraph"/>
        <w:numPr>
          <w:ilvl w:val="0"/>
          <w:numId w:val="3"/>
        </w:numPr>
        <w:spacing w:after="0" w:line="276" w:lineRule="auto"/>
        <w:textAlignment w:val="baseline"/>
        <w:rPr>
          <w:rStyle w:val="normaltextrun"/>
          <w:rFonts w:ascii="Inter Light" w:hAnsi="Inter Light" w:cs="Calibri"/>
          <w:sz w:val="22"/>
          <w:szCs w:val="22"/>
          <w:lang w:val="en-GB"/>
        </w:rPr>
      </w:pPr>
      <w:r w:rsidRPr="00345819">
        <w:rPr>
          <w:rStyle w:val="normaltextrun"/>
          <w:rFonts w:ascii="Inter Light" w:hAnsi="Inter Light" w:cs="Calibri"/>
          <w:b/>
          <w:sz w:val="22"/>
          <w:szCs w:val="22"/>
          <w:lang w:val="en-GB"/>
        </w:rPr>
        <w:t xml:space="preserve">Rigorous </w:t>
      </w:r>
      <w:r w:rsidR="00A8356F" w:rsidRPr="00345819">
        <w:rPr>
          <w:rStyle w:val="normaltextrun"/>
          <w:rFonts w:ascii="Inter Light" w:hAnsi="Inter Light" w:cs="Calibri"/>
          <w:b/>
          <w:sz w:val="22"/>
          <w:szCs w:val="22"/>
          <w:lang w:val="en-GB"/>
        </w:rPr>
        <w:t>Disclosures</w:t>
      </w:r>
      <w:r w:rsidRPr="00345819">
        <w:rPr>
          <w:rStyle w:val="normaltextrun"/>
          <w:rFonts w:ascii="Inter Light" w:hAnsi="Inter Light" w:cs="Calibri"/>
          <w:b/>
          <w:sz w:val="22"/>
          <w:szCs w:val="22"/>
          <w:lang w:val="en-GB"/>
        </w:rPr>
        <w:t>:</w:t>
      </w: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r w:rsidR="008F44E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This requirement requires</w:t>
      </w: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r w:rsidR="00C010B6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the </w:t>
      </w: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manufacturer </w:t>
      </w:r>
      <w:r w:rsidR="00C010B6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to attest</w:t>
      </w:r>
      <w:r w:rsidR="00F815E2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r w:rsidR="00B55577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that no PFAS additives or post-consumer recycled material are used in the product and that manufacturing facilities minimi</w:t>
      </w:r>
      <w:r w:rsidR="00EB3EC9">
        <w:rPr>
          <w:rStyle w:val="normaltextrun"/>
          <w:rFonts w:ascii="Inter Light" w:hAnsi="Inter Light" w:cs="Calibri"/>
          <w:sz w:val="22"/>
          <w:szCs w:val="22"/>
          <w:lang w:val="en-GB"/>
        </w:rPr>
        <w:t>s</w:t>
      </w:r>
      <w:r w:rsidR="00B55577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e cross-contamination. </w:t>
      </w:r>
    </w:p>
    <w:p w14:paraId="5D14FB46" w14:textId="2B2A6EB2" w:rsidR="00557A94" w:rsidRPr="00345819" w:rsidRDefault="00BE1696" w:rsidP="00E91F6E">
      <w:pPr>
        <w:pStyle w:val="paragraph"/>
        <w:numPr>
          <w:ilvl w:val="0"/>
          <w:numId w:val="3"/>
        </w:numPr>
        <w:spacing w:after="0" w:line="276" w:lineRule="auto"/>
        <w:textAlignment w:val="baseline"/>
        <w:rPr>
          <w:rStyle w:val="normaltextrun"/>
          <w:rFonts w:ascii="Inter Light" w:hAnsi="Inter Light" w:cs="Calibri"/>
          <w:sz w:val="22"/>
          <w:szCs w:val="22"/>
          <w:lang w:val="en-GB"/>
        </w:rPr>
      </w:pPr>
      <w:r w:rsidRPr="00345819">
        <w:rPr>
          <w:rStyle w:val="normaltextrun"/>
          <w:rFonts w:ascii="Inter Light" w:hAnsi="Inter Light" w:cs="Calibri"/>
          <w:b/>
          <w:bCs/>
          <w:sz w:val="22"/>
          <w:szCs w:val="22"/>
          <w:lang w:val="en-GB"/>
        </w:rPr>
        <w:t xml:space="preserve">Certification Mark: </w:t>
      </w:r>
      <w:r w:rsidR="007D36C8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NSF PFAS-Free certified products are accompanied by the relevant </w:t>
      </w:r>
      <w:r w:rsidR="00ED162F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official </w:t>
      </w:r>
      <w:r w:rsidR="001139CB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NSF certification mark</w:t>
      </w:r>
      <w:r w:rsidR="00406316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, signifying compliance </w:t>
      </w: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with</w:t>
      </w:r>
      <w:r w:rsidR="00406316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the guideline </w:t>
      </w: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to retailers and consumers</w:t>
      </w:r>
      <w:r w:rsidR="00406316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. </w:t>
      </w:r>
    </w:p>
    <w:p w14:paraId="749E8D3D" w14:textId="7A27E8EB" w:rsidR="008B4335" w:rsidRPr="00345819" w:rsidRDefault="00584AD9" w:rsidP="00E91F6E">
      <w:pPr>
        <w:pStyle w:val="paragraph"/>
        <w:numPr>
          <w:ilvl w:val="0"/>
          <w:numId w:val="3"/>
        </w:numPr>
        <w:spacing w:after="0" w:line="276" w:lineRule="auto"/>
        <w:textAlignment w:val="baseline"/>
        <w:rPr>
          <w:rStyle w:val="normaltextrun"/>
          <w:rFonts w:ascii="Inter Light" w:hAnsi="Inter Light" w:cs="Calibri"/>
          <w:sz w:val="22"/>
          <w:szCs w:val="22"/>
          <w:lang w:val="en-GB"/>
        </w:rPr>
      </w:pPr>
      <w:r w:rsidRPr="00345819">
        <w:rPr>
          <w:rStyle w:val="normaltextrun"/>
          <w:rFonts w:ascii="Inter Light" w:hAnsi="Inter Light" w:cs="Calibri"/>
          <w:b/>
          <w:sz w:val="22"/>
          <w:szCs w:val="22"/>
          <w:lang w:val="en-GB"/>
        </w:rPr>
        <w:t>Public Listing:</w:t>
      </w: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Certified </w:t>
      </w:r>
      <w:proofErr w:type="spellStart"/>
      <w:r w:rsidR="002B254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nonfood</w:t>
      </w:r>
      <w:proofErr w:type="spellEnd"/>
      <w:r w:rsidR="002B254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compounds</w:t>
      </w: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r w:rsidR="000A7164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are listed in the </w:t>
      </w:r>
      <w:hyperlink r:id="rId13" w:history="1">
        <w:r w:rsidR="000A7164" w:rsidRPr="00345819">
          <w:rPr>
            <w:rStyle w:val="Hyperlink"/>
            <w:rFonts w:ascii="Inter Light" w:hAnsi="Inter Light" w:cs="Calibri"/>
            <w:sz w:val="22"/>
            <w:szCs w:val="22"/>
            <w:lang w:val="en-GB"/>
          </w:rPr>
          <w:t>NSF White Book™</w:t>
        </w:r>
      </w:hyperlink>
      <w:r w:rsidR="000A7164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and certified food </w:t>
      </w:r>
      <w:r w:rsidR="007F41BC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equipment</w:t>
      </w:r>
      <w:r w:rsidR="000A7164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materials are </w:t>
      </w:r>
      <w:r w:rsidR="00ED03F2" w:rsidRPr="00345819">
        <w:rPr>
          <w:rStyle w:val="Strong"/>
          <w:rFonts w:ascii="Inter Light" w:hAnsi="Inter Light"/>
          <w:b w:val="0"/>
          <w:bCs w:val="0"/>
          <w:color w:val="333333"/>
          <w:sz w:val="22"/>
          <w:szCs w:val="22"/>
          <w:shd w:val="clear" w:color="auto" w:fill="FFFFFF"/>
          <w:lang w:val="en-GB"/>
        </w:rPr>
        <w:t xml:space="preserve">listed </w:t>
      </w:r>
      <w:r w:rsidR="00796C4B" w:rsidRPr="00345819">
        <w:rPr>
          <w:rStyle w:val="Strong"/>
          <w:rFonts w:ascii="Inter Light" w:hAnsi="Inter Light"/>
          <w:b w:val="0"/>
          <w:bCs w:val="0"/>
          <w:color w:val="333333"/>
          <w:sz w:val="22"/>
          <w:szCs w:val="22"/>
          <w:shd w:val="clear" w:color="auto" w:fill="FFFFFF"/>
          <w:lang w:val="en-GB"/>
        </w:rPr>
        <w:t>i</w:t>
      </w:r>
      <w:r w:rsidR="00ED03F2" w:rsidRPr="00345819">
        <w:rPr>
          <w:rStyle w:val="Strong"/>
          <w:rFonts w:ascii="Inter Light" w:hAnsi="Inter Light"/>
          <w:b w:val="0"/>
          <w:bCs w:val="0"/>
          <w:color w:val="333333"/>
          <w:sz w:val="22"/>
          <w:szCs w:val="22"/>
          <w:shd w:val="clear" w:color="auto" w:fill="FFFFFF"/>
          <w:lang w:val="en-GB"/>
        </w:rPr>
        <w:t xml:space="preserve">n </w:t>
      </w:r>
      <w:hyperlink r:id="rId14" w:history="1">
        <w:r w:rsidR="00ED03F2" w:rsidRPr="00345819">
          <w:rPr>
            <w:rStyle w:val="Hyperlink"/>
            <w:rFonts w:ascii="Inter Light" w:hAnsi="Inter Light"/>
            <w:sz w:val="22"/>
            <w:szCs w:val="22"/>
            <w:shd w:val="clear" w:color="auto" w:fill="FFFFFF"/>
            <w:lang w:val="en-GB"/>
          </w:rPr>
          <w:t>NSF</w:t>
        </w:r>
        <w:r w:rsidR="00796C4B" w:rsidRPr="00345819">
          <w:rPr>
            <w:rStyle w:val="Hyperlink"/>
            <w:rFonts w:ascii="Inter Light" w:hAnsi="Inter Light"/>
            <w:sz w:val="22"/>
            <w:szCs w:val="22"/>
            <w:shd w:val="clear" w:color="auto" w:fill="FFFFFF"/>
            <w:lang w:val="en-GB"/>
          </w:rPr>
          <w:t>’s Certified Food Equipment listing</w:t>
        </w:r>
      </w:hyperlink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.</w:t>
      </w:r>
    </w:p>
    <w:p w14:paraId="07104F98" w14:textId="53ACE0D5" w:rsidR="008B4335" w:rsidRPr="00345819" w:rsidRDefault="000A7164" w:rsidP="008B4335">
      <w:pPr>
        <w:pStyle w:val="paragraph"/>
        <w:spacing w:after="0" w:line="276" w:lineRule="auto"/>
        <w:textAlignment w:val="baseline"/>
        <w:rPr>
          <w:rStyle w:val="normaltextrun"/>
          <w:rFonts w:ascii="Inter Light" w:hAnsi="Inter Light" w:cs="Calibri"/>
          <w:sz w:val="22"/>
          <w:szCs w:val="22"/>
          <w:lang w:val="en-GB"/>
        </w:rPr>
      </w:pP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“</w:t>
      </w:r>
      <w:r w:rsidR="00C06BCA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Certification to </w:t>
      </w:r>
      <w:r w:rsidR="00A47470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NSF 537</w:t>
      </w:r>
      <w:r w:rsidR="00C06BCA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help</w:t>
      </w:r>
      <w:r w:rsidR="00535841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s</w:t>
      </w:r>
      <w:r w:rsidR="00C06BCA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to reduce </w:t>
      </w:r>
      <w:r w:rsidR="005B7F78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human exposure to these harmful chemicals</w:t>
      </w:r>
      <w:r w:rsidR="00C06BCA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while underscoring a commitment </w:t>
      </w:r>
      <w:r w:rsidR="003A0F78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to </w:t>
      </w:r>
      <w:r w:rsidR="00B3750A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meet</w:t>
      </w:r>
      <w:r w:rsidR="00B57261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ing</w:t>
      </w:r>
      <w:r w:rsidR="00B3750A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evolving </w:t>
      </w:r>
      <w:r w:rsidR="008D576B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regulations</w:t>
      </w:r>
      <w:r w:rsidR="00535841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, </w:t>
      </w:r>
      <w:r w:rsidR="00C06BCA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consequentially</w:t>
      </w:r>
      <w:r w:rsidR="00D31EFC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opening up exporting opportunities</w:t>
      </w:r>
      <w:r w:rsidR="00584AD9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,</w:t>
      </w:r>
      <w:r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”</w:t>
      </w:r>
      <w:r w:rsidR="00584AD9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Cole</w:t>
      </w:r>
      <w:r w:rsidR="00135A92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added</w:t>
      </w:r>
      <w:r w:rsidR="00584AD9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.</w:t>
      </w:r>
      <w:r w:rsidR="00C217CD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r w:rsidR="00980532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“</w:t>
      </w:r>
      <w:r w:rsidR="00D31EFC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By demanding</w:t>
      </w:r>
      <w:r w:rsidR="00535841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NSF 537 certification</w:t>
      </w:r>
      <w:r w:rsidR="00D31EFC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,</w:t>
      </w:r>
      <w:r w:rsidR="00DB653C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r w:rsidR="00FA1489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specifiers and buyers</w:t>
      </w:r>
      <w:r w:rsidR="0026294A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r w:rsidR="00D31EFC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can further</w:t>
      </w:r>
      <w:r w:rsidR="0026294A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advance sustainable operations, including in </w:t>
      </w:r>
      <w:r w:rsidR="00FA1489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food processing facilities, equipment manufacturing</w:t>
      </w:r>
      <w:r w:rsidR="00500DC2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and </w:t>
      </w:r>
      <w:r w:rsidR="00D31EFC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the </w:t>
      </w:r>
      <w:r w:rsidR="00500DC2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retail, food</w:t>
      </w:r>
      <w:r w:rsidR="00DF6C33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r w:rsidR="00500DC2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service and hospitality sectors</w:t>
      </w:r>
      <w:r w:rsidR="00695508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.</w:t>
      </w:r>
      <w:r w:rsidR="00173A87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”</w:t>
      </w:r>
    </w:p>
    <w:p w14:paraId="40917B0F" w14:textId="1357BECC" w:rsidR="008B4335" w:rsidRPr="00345819" w:rsidRDefault="001254A0" w:rsidP="291534E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Inter Light" w:hAnsi="Inter Light" w:cs="Calibri"/>
          <w:sz w:val="22"/>
          <w:szCs w:val="22"/>
          <w:lang w:val="en-GB"/>
        </w:rPr>
      </w:pPr>
      <w:r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Designed by </w:t>
      </w:r>
      <w:r w:rsidR="00535841"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>food safety</w:t>
      </w:r>
      <w:r w:rsidR="005F5840"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r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>specialists</w:t>
      </w:r>
      <w:r w:rsidR="00535841"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>, NSF 537</w:t>
      </w:r>
      <w:r w:rsidR="001E34C0"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is</w:t>
      </w:r>
      <w:r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r w:rsidR="00A61282"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based on industry </w:t>
      </w:r>
      <w:r w:rsidR="00980532"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>need</w:t>
      </w:r>
      <w:r w:rsidR="00A61282"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s, </w:t>
      </w:r>
      <w:r w:rsidR="001E34C0"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>in</w:t>
      </w:r>
      <w:r w:rsidR="00E53E2D"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>-</w:t>
      </w:r>
      <w:r w:rsidR="001E34C0"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>depth</w:t>
      </w:r>
      <w:r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food industry </w:t>
      </w:r>
      <w:r w:rsidR="00535841"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>knowledge</w:t>
      </w:r>
      <w:r w:rsidR="00A61282"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and</w:t>
      </w:r>
      <w:r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decades of standards development</w:t>
      </w:r>
      <w:r w:rsidR="001E34C0" w:rsidRPr="00EB3EC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. 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To </w:t>
      </w:r>
      <w:r w:rsidR="00584AD9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achieve certification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, </w:t>
      </w:r>
      <w:proofErr w:type="spellStart"/>
      <w:r w:rsidR="00191984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nonfood</w:t>
      </w:r>
      <w:proofErr w:type="spellEnd"/>
      <w:r w:rsidR="00191984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compound 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products must first be registered under </w:t>
      </w:r>
      <w:r w:rsidR="000A7164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NSF’s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proofErr w:type="spellStart"/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Nonfood</w:t>
      </w:r>
      <w:proofErr w:type="spellEnd"/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Compounds Guidelines </w:t>
      </w:r>
      <w:r w:rsidR="00ED03F2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or certified</w:t>
      </w:r>
      <w:r w:rsidR="00155FD4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by NSF</w:t>
      </w:r>
      <w:r w:rsidR="00ED03F2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to ISO 21469, Safety of Machinery, Lubricants with Incidental Product Contact-Hygiene Requirements</w:t>
      </w:r>
      <w:r w:rsidR="007B6A0F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. Food equipment materials must </w:t>
      </w:r>
      <w:r w:rsidR="002A12E1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be</w:t>
      </w:r>
      <w:r w:rsidR="008B4335" w:rsidRPr="00345819" w:rsidDel="007B6A0F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certified to NSF/ANSI </w:t>
      </w:r>
      <w:r w:rsidR="00D7386A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Standard 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51</w:t>
      </w:r>
      <w:r w:rsidR="00D7386A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: Food Equipment</w:t>
      </w:r>
      <w:r w:rsidR="00E32722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Materials</w:t>
      </w:r>
      <w:r w:rsidR="00E8709F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to</w:t>
      </w:r>
      <w:r w:rsidR="008B4335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ensure</w:t>
      </w:r>
      <w:r w:rsidR="00191984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 xml:space="preserve"> </w:t>
      </w:r>
      <w:r w:rsidR="00455CB0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that products meet minimum public health and sanitation requirements</w:t>
      </w:r>
      <w:r w:rsidR="00191984" w:rsidRPr="00345819">
        <w:rPr>
          <w:rStyle w:val="normaltextrun"/>
          <w:rFonts w:ascii="Inter Light" w:hAnsi="Inter Light" w:cs="Calibri"/>
          <w:sz w:val="22"/>
          <w:szCs w:val="22"/>
          <w:lang w:val="en-GB"/>
        </w:rPr>
        <w:t>.</w:t>
      </w:r>
    </w:p>
    <w:p w14:paraId="08D0CB5E" w14:textId="18ED0446" w:rsidR="005F6634" w:rsidRPr="00345819" w:rsidRDefault="00000000" w:rsidP="008B4335">
      <w:pPr>
        <w:pStyle w:val="paragraph"/>
        <w:spacing w:after="0" w:line="276" w:lineRule="auto"/>
        <w:textAlignment w:val="baseline"/>
        <w:rPr>
          <w:rStyle w:val="normaltextrun"/>
          <w:rFonts w:ascii="Inter Light" w:hAnsi="Inter Light" w:cs="Calibri"/>
          <w:sz w:val="22"/>
          <w:szCs w:val="22"/>
          <w:lang w:val="en-GB"/>
        </w:rPr>
      </w:pPr>
      <w:hyperlink r:id="rId15" w:history="1">
        <w:r w:rsidR="000A6430" w:rsidRPr="00345819">
          <w:rPr>
            <w:rStyle w:val="Hyperlink"/>
            <w:rFonts w:ascii="Inter Light" w:hAnsi="Inter Light" w:cs="Calibri"/>
            <w:sz w:val="22"/>
            <w:szCs w:val="22"/>
            <w:lang w:val="en-GB"/>
          </w:rPr>
          <w:t>Learn more about NSF 537.</w:t>
        </w:r>
      </w:hyperlink>
    </w:p>
    <w:p w14:paraId="4539D6C2" w14:textId="77777777" w:rsidR="00770F9D" w:rsidRPr="00345819" w:rsidRDefault="00770F9D" w:rsidP="008B4335">
      <w:pPr>
        <w:pStyle w:val="paragraph"/>
        <w:spacing w:after="0" w:line="276" w:lineRule="auto"/>
        <w:textAlignment w:val="baseline"/>
        <w:rPr>
          <w:rStyle w:val="normaltextrun"/>
          <w:rFonts w:ascii="Inter Light" w:hAnsi="Inter Light" w:cs="Calibri"/>
          <w:sz w:val="22"/>
          <w:szCs w:val="22"/>
          <w:lang w:val="en-GB"/>
        </w:rPr>
      </w:pPr>
    </w:p>
    <w:p w14:paraId="72876AAF" w14:textId="7F1F083E" w:rsidR="005F6634" w:rsidRPr="00345819" w:rsidRDefault="005F6634" w:rsidP="005F6634">
      <w:pPr>
        <w:pStyle w:val="paragraph"/>
        <w:spacing w:after="0" w:line="276" w:lineRule="auto"/>
        <w:textAlignment w:val="baseline"/>
        <w:rPr>
          <w:rStyle w:val="normaltextrun"/>
          <w:rFonts w:ascii="Inter Light" w:hAnsi="Inter Light" w:cs="Calibri"/>
          <w:i/>
          <w:iCs/>
          <w:sz w:val="22"/>
          <w:szCs w:val="22"/>
          <w:lang w:val="en-GB"/>
        </w:rPr>
      </w:pPr>
      <w:r w:rsidRPr="00345819">
        <w:rPr>
          <w:rStyle w:val="normaltextrun"/>
          <w:rFonts w:ascii="Inter Light" w:hAnsi="Inter Light" w:cs="Calibri"/>
          <w:i/>
          <w:iCs/>
          <w:sz w:val="22"/>
          <w:szCs w:val="22"/>
          <w:lang w:val="en-GB"/>
        </w:rPr>
        <w:t xml:space="preserve">Note: PFAS-Free means that the product contains </w:t>
      </w:r>
      <w:proofErr w:type="gramStart"/>
      <w:r w:rsidRPr="00345819">
        <w:rPr>
          <w:rStyle w:val="normaltextrun"/>
          <w:rFonts w:ascii="Inter Light" w:hAnsi="Inter Light" w:cs="Calibri"/>
          <w:i/>
          <w:iCs/>
          <w:sz w:val="22"/>
          <w:szCs w:val="22"/>
          <w:lang w:val="en-GB"/>
        </w:rPr>
        <w:t>no</w:t>
      </w:r>
      <w:proofErr w:type="gramEnd"/>
      <w:r w:rsidRPr="00345819">
        <w:rPr>
          <w:rStyle w:val="normaltextrun"/>
          <w:rFonts w:ascii="Inter Light" w:hAnsi="Inter Light" w:cs="Calibri"/>
          <w:i/>
          <w:iCs/>
          <w:sz w:val="22"/>
          <w:szCs w:val="22"/>
          <w:lang w:val="en-GB"/>
        </w:rPr>
        <w:t xml:space="preserve"> intentionally added PFAS, no post-consumer recycled material, no intentionally used PFAS additives (PPA, etc.) and the Total Organic Fluorine is less than 50 ppm.</w:t>
      </w:r>
    </w:p>
    <w:p w14:paraId="3EC3FD2D" w14:textId="77777777" w:rsidR="00C968BA" w:rsidRPr="00345819" w:rsidRDefault="00C968BA" w:rsidP="00435333">
      <w:pPr>
        <w:pStyle w:val="paragraph"/>
        <w:pBdr>
          <w:bottom w:val="single" w:sz="6" w:space="1" w:color="auto"/>
        </w:pBdr>
        <w:spacing w:before="0" w:beforeAutospacing="0" w:after="0" w:afterAutospacing="0"/>
        <w:textAlignment w:val="baseline"/>
        <w:rPr>
          <w:rStyle w:val="normaltextrun"/>
          <w:rFonts w:ascii="Inter Light" w:hAnsi="Inter Light" w:cs="Calibri"/>
          <w:sz w:val="22"/>
          <w:szCs w:val="22"/>
          <w:lang w:val="en-GB"/>
        </w:rPr>
      </w:pPr>
    </w:p>
    <w:p w14:paraId="64E606F1" w14:textId="77777777" w:rsidR="00A55A00" w:rsidRPr="00345819" w:rsidRDefault="00E265DF" w:rsidP="00435333">
      <w:pPr>
        <w:pStyle w:val="Title"/>
        <w:rPr>
          <w:rStyle w:val="normaltextrun"/>
          <w:rFonts w:ascii="Inter Light" w:hAnsi="Inter Light" w:cstheme="minorHAnsi"/>
          <w:b/>
          <w:bCs/>
          <w:sz w:val="20"/>
          <w:szCs w:val="20"/>
          <w:lang w:val="en-GB"/>
        </w:rPr>
      </w:pPr>
      <w:r w:rsidRPr="00345819">
        <w:rPr>
          <w:rStyle w:val="normaltextrun"/>
          <w:rFonts w:ascii="Inter Light" w:hAnsi="Inter Light" w:cstheme="minorHAnsi"/>
          <w:b/>
          <w:bCs/>
          <w:sz w:val="20"/>
          <w:szCs w:val="20"/>
          <w:lang w:val="en-GB"/>
        </w:rPr>
        <w:t>About NSF</w:t>
      </w:r>
    </w:p>
    <w:bookmarkStart w:id="0" w:name="_Hlk173132752"/>
    <w:p w14:paraId="21A37F2E" w14:textId="537AA126" w:rsidR="00246343" w:rsidRPr="00345819" w:rsidRDefault="00D05DC3" w:rsidP="00DB4453">
      <w:pPr>
        <w:pStyle w:val="CommentText"/>
        <w:rPr>
          <w:rFonts w:ascii="Inter Light" w:hAnsi="Inter Light" w:cstheme="minorHAnsi"/>
          <w:lang w:val="en-GB"/>
        </w:rPr>
      </w:pPr>
      <w:r w:rsidRPr="00345819">
        <w:rPr>
          <w:rFonts w:eastAsiaTheme="minorHAnsi" w:cstheme="minorBidi"/>
        </w:rPr>
        <w:fldChar w:fldCharType="begin"/>
      </w:r>
      <w:r w:rsidRPr="00345819">
        <w:rPr>
          <w:rFonts w:ascii="Inter Light" w:hAnsi="Inter Light"/>
          <w:lang w:val="en-GB"/>
        </w:rPr>
        <w:instrText>HYPERLINK "https://www.nsf.org/" \h</w:instrText>
      </w:r>
      <w:r w:rsidRPr="00345819">
        <w:rPr>
          <w:rFonts w:eastAsiaTheme="minorHAnsi" w:cstheme="minorBidi"/>
        </w:rPr>
      </w:r>
      <w:r w:rsidRPr="00345819">
        <w:rPr>
          <w:rFonts w:eastAsiaTheme="minorHAnsi" w:cstheme="minorBidi"/>
        </w:rPr>
        <w:fldChar w:fldCharType="separate"/>
      </w:r>
      <w:r w:rsidRPr="00345819">
        <w:rPr>
          <w:rStyle w:val="Hyperlink"/>
          <w:rFonts w:ascii="Inter Light" w:eastAsia="Inter" w:hAnsi="Inter Light" w:cs="Inter"/>
          <w:color w:val="0563C1"/>
          <w:lang w:val="en-GB"/>
        </w:rPr>
        <w:t>NSF</w:t>
      </w:r>
      <w:r w:rsidRPr="00345819">
        <w:rPr>
          <w:rStyle w:val="Hyperlink"/>
          <w:rFonts w:ascii="Inter Light" w:eastAsia="Inter" w:hAnsi="Inter Light" w:cs="Inter"/>
          <w:color w:val="0563C1"/>
          <w:lang w:val="en-GB"/>
        </w:rPr>
        <w:fldChar w:fldCharType="end"/>
      </w:r>
      <w:r w:rsidRPr="00345819">
        <w:rPr>
          <w:rStyle w:val="normaltextrun"/>
          <w:rFonts w:ascii="Inter Light" w:eastAsia="Inter" w:hAnsi="Inter Light" w:cs="Inter"/>
          <w:color w:val="000000" w:themeColor="text1"/>
          <w:lang w:val="en-GB"/>
        </w:rPr>
        <w:t xml:space="preserve"> is an independent, global services organization dedicated to improving human and planet health for more than 80 years by developing public health standards and providing world-class testing, inspection, certification, advisory services and digital solutions to the food, nutrition, water, life sciences and consumer goods industries. NSF has 40,000 clients across all continents and is a World Health Organization (WHO) Collaborating </w:t>
      </w:r>
      <w:proofErr w:type="spellStart"/>
      <w:r w:rsidRPr="00345819">
        <w:rPr>
          <w:rStyle w:val="normaltextrun"/>
          <w:rFonts w:ascii="Inter Light" w:eastAsia="Inter" w:hAnsi="Inter Light" w:cs="Inter"/>
          <w:color w:val="000000" w:themeColor="text1"/>
          <w:lang w:val="en-GB"/>
        </w:rPr>
        <w:t>Center</w:t>
      </w:r>
      <w:proofErr w:type="spellEnd"/>
      <w:r w:rsidRPr="00345819">
        <w:rPr>
          <w:rStyle w:val="normaltextrun"/>
          <w:rFonts w:ascii="Inter Light" w:eastAsia="Inter" w:hAnsi="Inter Light" w:cs="Inter"/>
          <w:color w:val="000000" w:themeColor="text1"/>
          <w:lang w:val="en-GB"/>
        </w:rPr>
        <w:t xml:space="preserve"> on Food Safety, Water Quality and Medical Device Safety.</w:t>
      </w:r>
      <w:bookmarkEnd w:id="0"/>
    </w:p>
    <w:sectPr w:rsidR="00246343" w:rsidRPr="00345819" w:rsidSect="00E51D88"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4885" w14:textId="77777777" w:rsidR="00220589" w:rsidRDefault="00220589" w:rsidP="00A3390F">
      <w:pPr>
        <w:spacing w:after="0" w:line="240" w:lineRule="auto"/>
      </w:pPr>
      <w:r>
        <w:separator/>
      </w:r>
    </w:p>
  </w:endnote>
  <w:endnote w:type="continuationSeparator" w:id="0">
    <w:p w14:paraId="3D764BE6" w14:textId="77777777" w:rsidR="00220589" w:rsidRDefault="00220589" w:rsidP="00A3390F">
      <w:pPr>
        <w:spacing w:after="0" w:line="240" w:lineRule="auto"/>
      </w:pPr>
      <w:r>
        <w:continuationSeparator/>
      </w:r>
    </w:p>
  </w:endnote>
  <w:endnote w:type="continuationNotice" w:id="1">
    <w:p w14:paraId="0E475C38" w14:textId="77777777" w:rsidR="00220589" w:rsidRDefault="002205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Inter Light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67CF" w14:textId="36D2D3C4" w:rsidR="00A3390F" w:rsidRDefault="00A339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112D0C2" wp14:editId="5CFDC7A9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07584121b5064f6c7257e4dc" descr="{&quot;HashCode&quot;:106812570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960568" w14:textId="575C85A7" w:rsidR="00A3390F" w:rsidRPr="00A3390F" w:rsidRDefault="00A3390F" w:rsidP="00A3390F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3390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NSF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2D0C2" id="_x0000_t202" coordsize="21600,21600" o:spt="202" path="m,l,21600r21600,l21600,xe">
              <v:stroke joinstyle="miter"/>
              <v:path gradientshapeok="t" o:connecttype="rect"/>
            </v:shapetype>
            <v:shape id="MSIPCM07584121b5064f6c7257e4dc" o:spid="_x0000_s1026" type="#_x0000_t202" alt="{&quot;HashCode&quot;:106812570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2F960568" w14:textId="575C85A7" w:rsidR="00A3390F" w:rsidRPr="00A3390F" w:rsidRDefault="00A3390F" w:rsidP="00A3390F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3390F">
                      <w:rPr>
                        <w:rFonts w:ascii="Calibri" w:hAnsi="Calibri" w:cs="Calibri"/>
                        <w:color w:val="000000"/>
                        <w:sz w:val="20"/>
                      </w:rPr>
                      <w:t>NSF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BFCB" w14:textId="77777777" w:rsidR="00220589" w:rsidRDefault="00220589" w:rsidP="00A3390F">
      <w:pPr>
        <w:spacing w:after="0" w:line="240" w:lineRule="auto"/>
      </w:pPr>
      <w:r>
        <w:separator/>
      </w:r>
    </w:p>
  </w:footnote>
  <w:footnote w:type="continuationSeparator" w:id="0">
    <w:p w14:paraId="67EA598B" w14:textId="77777777" w:rsidR="00220589" w:rsidRDefault="00220589" w:rsidP="00A3390F">
      <w:pPr>
        <w:spacing w:after="0" w:line="240" w:lineRule="auto"/>
      </w:pPr>
      <w:r>
        <w:continuationSeparator/>
      </w:r>
    </w:p>
  </w:footnote>
  <w:footnote w:type="continuationNotice" w:id="1">
    <w:p w14:paraId="788B4427" w14:textId="77777777" w:rsidR="00220589" w:rsidRDefault="002205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B5E4" w14:textId="2FA6D148" w:rsidR="00A3390F" w:rsidRDefault="00E51D88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DB778F2" wp14:editId="2956AD86">
          <wp:simplePos x="0" y="0"/>
          <wp:positionH relativeFrom="column">
            <wp:posOffset>-571500</wp:posOffset>
          </wp:positionH>
          <wp:positionV relativeFrom="paragraph">
            <wp:posOffset>-209550</wp:posOffset>
          </wp:positionV>
          <wp:extent cx="900000" cy="900000"/>
          <wp:effectExtent l="0" t="0" r="0" b="0"/>
          <wp:wrapSquare wrapText="bothSides"/>
          <wp:docPr id="1900081881" name="Picture 19000818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06621"/>
    <w:multiLevelType w:val="hybridMultilevel"/>
    <w:tmpl w:val="9DAE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06CD8"/>
    <w:multiLevelType w:val="multilevel"/>
    <w:tmpl w:val="E85820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FEF0201"/>
    <w:multiLevelType w:val="multilevel"/>
    <w:tmpl w:val="2BF850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8256881"/>
    <w:multiLevelType w:val="multilevel"/>
    <w:tmpl w:val="F438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9173928">
    <w:abstractNumId w:val="2"/>
  </w:num>
  <w:num w:numId="2" w16cid:durableId="1532381532">
    <w:abstractNumId w:val="1"/>
  </w:num>
  <w:num w:numId="3" w16cid:durableId="567617963">
    <w:abstractNumId w:val="0"/>
  </w:num>
  <w:num w:numId="4" w16cid:durableId="2130735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728"/>
    <w:rsid w:val="00003134"/>
    <w:rsid w:val="000033B6"/>
    <w:rsid w:val="00005A6F"/>
    <w:rsid w:val="00006C4F"/>
    <w:rsid w:val="00021894"/>
    <w:rsid w:val="0002318A"/>
    <w:rsid w:val="000311F1"/>
    <w:rsid w:val="00035835"/>
    <w:rsid w:val="00044E64"/>
    <w:rsid w:val="00051849"/>
    <w:rsid w:val="00051A42"/>
    <w:rsid w:val="000638E8"/>
    <w:rsid w:val="0006736C"/>
    <w:rsid w:val="00084D97"/>
    <w:rsid w:val="0009310A"/>
    <w:rsid w:val="000A0DCA"/>
    <w:rsid w:val="000A6430"/>
    <w:rsid w:val="000A7164"/>
    <w:rsid w:val="000B4026"/>
    <w:rsid w:val="000C1325"/>
    <w:rsid w:val="000C6904"/>
    <w:rsid w:val="000C7387"/>
    <w:rsid w:val="000D10EF"/>
    <w:rsid w:val="000D377F"/>
    <w:rsid w:val="000D437E"/>
    <w:rsid w:val="000D5924"/>
    <w:rsid w:val="000E196E"/>
    <w:rsid w:val="000E7FB3"/>
    <w:rsid w:val="001004EA"/>
    <w:rsid w:val="00100BB8"/>
    <w:rsid w:val="001066BF"/>
    <w:rsid w:val="001071B4"/>
    <w:rsid w:val="001139CB"/>
    <w:rsid w:val="00113C3D"/>
    <w:rsid w:val="0011437B"/>
    <w:rsid w:val="00114716"/>
    <w:rsid w:val="001166C1"/>
    <w:rsid w:val="00121E11"/>
    <w:rsid w:val="001230BC"/>
    <w:rsid w:val="001231B9"/>
    <w:rsid w:val="001237CB"/>
    <w:rsid w:val="001254A0"/>
    <w:rsid w:val="001275E6"/>
    <w:rsid w:val="001354A2"/>
    <w:rsid w:val="00135A92"/>
    <w:rsid w:val="00147DC9"/>
    <w:rsid w:val="00155424"/>
    <w:rsid w:val="00155FD4"/>
    <w:rsid w:val="001651DC"/>
    <w:rsid w:val="001665AF"/>
    <w:rsid w:val="001672B3"/>
    <w:rsid w:val="00167C22"/>
    <w:rsid w:val="00170713"/>
    <w:rsid w:val="001707DB"/>
    <w:rsid w:val="00173A87"/>
    <w:rsid w:val="00183BBC"/>
    <w:rsid w:val="00187690"/>
    <w:rsid w:val="00190726"/>
    <w:rsid w:val="00191984"/>
    <w:rsid w:val="00192253"/>
    <w:rsid w:val="00192B8A"/>
    <w:rsid w:val="00194DE4"/>
    <w:rsid w:val="001A301F"/>
    <w:rsid w:val="001A45D1"/>
    <w:rsid w:val="001A7802"/>
    <w:rsid w:val="001B4649"/>
    <w:rsid w:val="001B48DC"/>
    <w:rsid w:val="001B4A1F"/>
    <w:rsid w:val="001C1E99"/>
    <w:rsid w:val="001C5780"/>
    <w:rsid w:val="001C650A"/>
    <w:rsid w:val="001C6529"/>
    <w:rsid w:val="001C751F"/>
    <w:rsid w:val="001D2976"/>
    <w:rsid w:val="001D3397"/>
    <w:rsid w:val="001E34C0"/>
    <w:rsid w:val="001F3867"/>
    <w:rsid w:val="0020079D"/>
    <w:rsid w:val="002056ED"/>
    <w:rsid w:val="00216B24"/>
    <w:rsid w:val="00217490"/>
    <w:rsid w:val="00220589"/>
    <w:rsid w:val="00225493"/>
    <w:rsid w:val="00225A42"/>
    <w:rsid w:val="00226C62"/>
    <w:rsid w:val="00227368"/>
    <w:rsid w:val="002321CD"/>
    <w:rsid w:val="002376B8"/>
    <w:rsid w:val="0024072B"/>
    <w:rsid w:val="00243FC7"/>
    <w:rsid w:val="00246343"/>
    <w:rsid w:val="00246C60"/>
    <w:rsid w:val="0026294A"/>
    <w:rsid w:val="00263C5F"/>
    <w:rsid w:val="002673B2"/>
    <w:rsid w:val="00274516"/>
    <w:rsid w:val="002745DB"/>
    <w:rsid w:val="00292A3B"/>
    <w:rsid w:val="002A0584"/>
    <w:rsid w:val="002A12E1"/>
    <w:rsid w:val="002B1849"/>
    <w:rsid w:val="002B2545"/>
    <w:rsid w:val="002C37CF"/>
    <w:rsid w:val="002C409B"/>
    <w:rsid w:val="002C46C9"/>
    <w:rsid w:val="002D010D"/>
    <w:rsid w:val="002D0B4C"/>
    <w:rsid w:val="002D4C1E"/>
    <w:rsid w:val="002D6983"/>
    <w:rsid w:val="002E629C"/>
    <w:rsid w:val="002F335B"/>
    <w:rsid w:val="002F402A"/>
    <w:rsid w:val="002F4B04"/>
    <w:rsid w:val="003034ED"/>
    <w:rsid w:val="0032055E"/>
    <w:rsid w:val="0032575D"/>
    <w:rsid w:val="00325F83"/>
    <w:rsid w:val="00326126"/>
    <w:rsid w:val="003347CA"/>
    <w:rsid w:val="0033552F"/>
    <w:rsid w:val="003375A6"/>
    <w:rsid w:val="00344986"/>
    <w:rsid w:val="00345819"/>
    <w:rsid w:val="00346011"/>
    <w:rsid w:val="00347AC0"/>
    <w:rsid w:val="00347E02"/>
    <w:rsid w:val="0035009F"/>
    <w:rsid w:val="003545AB"/>
    <w:rsid w:val="00357038"/>
    <w:rsid w:val="003572E2"/>
    <w:rsid w:val="003574A4"/>
    <w:rsid w:val="00362161"/>
    <w:rsid w:val="003741D2"/>
    <w:rsid w:val="00377FB4"/>
    <w:rsid w:val="00385365"/>
    <w:rsid w:val="00396D61"/>
    <w:rsid w:val="00397117"/>
    <w:rsid w:val="003A0F78"/>
    <w:rsid w:val="003B1484"/>
    <w:rsid w:val="003B739F"/>
    <w:rsid w:val="003C1540"/>
    <w:rsid w:val="003D1743"/>
    <w:rsid w:val="003D17F4"/>
    <w:rsid w:val="003D3EB7"/>
    <w:rsid w:val="003D6DE2"/>
    <w:rsid w:val="003E03F4"/>
    <w:rsid w:val="003E3C1C"/>
    <w:rsid w:val="003E4773"/>
    <w:rsid w:val="003F57F5"/>
    <w:rsid w:val="003F5E12"/>
    <w:rsid w:val="00400539"/>
    <w:rsid w:val="00405A77"/>
    <w:rsid w:val="00406316"/>
    <w:rsid w:val="004138E0"/>
    <w:rsid w:val="004178F0"/>
    <w:rsid w:val="00423C30"/>
    <w:rsid w:val="00423FD3"/>
    <w:rsid w:val="00431186"/>
    <w:rsid w:val="00433A18"/>
    <w:rsid w:val="00435333"/>
    <w:rsid w:val="004370CF"/>
    <w:rsid w:val="00441C94"/>
    <w:rsid w:val="00452B8E"/>
    <w:rsid w:val="00455CB0"/>
    <w:rsid w:val="004730C8"/>
    <w:rsid w:val="004919D4"/>
    <w:rsid w:val="00496F25"/>
    <w:rsid w:val="004A62CE"/>
    <w:rsid w:val="004A6D37"/>
    <w:rsid w:val="004A7CAD"/>
    <w:rsid w:val="004B43B8"/>
    <w:rsid w:val="004C537F"/>
    <w:rsid w:val="004E24B0"/>
    <w:rsid w:val="004E7E93"/>
    <w:rsid w:val="004F0779"/>
    <w:rsid w:val="004F1835"/>
    <w:rsid w:val="004F4368"/>
    <w:rsid w:val="005004D1"/>
    <w:rsid w:val="00500DC2"/>
    <w:rsid w:val="00500FB8"/>
    <w:rsid w:val="005053B8"/>
    <w:rsid w:val="00505918"/>
    <w:rsid w:val="00514EEB"/>
    <w:rsid w:val="00516E0E"/>
    <w:rsid w:val="00520D21"/>
    <w:rsid w:val="00522F20"/>
    <w:rsid w:val="00525A5F"/>
    <w:rsid w:val="00532A56"/>
    <w:rsid w:val="00532C7D"/>
    <w:rsid w:val="00535841"/>
    <w:rsid w:val="00550E3B"/>
    <w:rsid w:val="00553CB6"/>
    <w:rsid w:val="00557A94"/>
    <w:rsid w:val="005640D6"/>
    <w:rsid w:val="00565DD8"/>
    <w:rsid w:val="00570864"/>
    <w:rsid w:val="00582003"/>
    <w:rsid w:val="005829EE"/>
    <w:rsid w:val="00584AD9"/>
    <w:rsid w:val="00590BE7"/>
    <w:rsid w:val="00590CAF"/>
    <w:rsid w:val="00592527"/>
    <w:rsid w:val="00592EFD"/>
    <w:rsid w:val="005A14ED"/>
    <w:rsid w:val="005A29E3"/>
    <w:rsid w:val="005A5C55"/>
    <w:rsid w:val="005A5CB4"/>
    <w:rsid w:val="005B77A2"/>
    <w:rsid w:val="005B7F78"/>
    <w:rsid w:val="005C163F"/>
    <w:rsid w:val="005C2EFC"/>
    <w:rsid w:val="005D0266"/>
    <w:rsid w:val="005D4787"/>
    <w:rsid w:val="005E1115"/>
    <w:rsid w:val="005E5848"/>
    <w:rsid w:val="005E6A52"/>
    <w:rsid w:val="005F11E4"/>
    <w:rsid w:val="005F2E7F"/>
    <w:rsid w:val="005F5840"/>
    <w:rsid w:val="005F6634"/>
    <w:rsid w:val="006029AC"/>
    <w:rsid w:val="00612C60"/>
    <w:rsid w:val="00617A13"/>
    <w:rsid w:val="00624461"/>
    <w:rsid w:val="00625540"/>
    <w:rsid w:val="00625F71"/>
    <w:rsid w:val="00626058"/>
    <w:rsid w:val="00631241"/>
    <w:rsid w:val="00633EBC"/>
    <w:rsid w:val="00636931"/>
    <w:rsid w:val="00650F41"/>
    <w:rsid w:val="00657294"/>
    <w:rsid w:val="00660370"/>
    <w:rsid w:val="0066380B"/>
    <w:rsid w:val="0066470F"/>
    <w:rsid w:val="00664B5A"/>
    <w:rsid w:val="0066777A"/>
    <w:rsid w:val="00670F49"/>
    <w:rsid w:val="006736F5"/>
    <w:rsid w:val="00675934"/>
    <w:rsid w:val="00675B0F"/>
    <w:rsid w:val="006828FF"/>
    <w:rsid w:val="00685128"/>
    <w:rsid w:val="00687793"/>
    <w:rsid w:val="00691400"/>
    <w:rsid w:val="00695508"/>
    <w:rsid w:val="00696668"/>
    <w:rsid w:val="006B1367"/>
    <w:rsid w:val="006B7BB8"/>
    <w:rsid w:val="006C0132"/>
    <w:rsid w:val="006C4BFB"/>
    <w:rsid w:val="006D1E12"/>
    <w:rsid w:val="006D3FAD"/>
    <w:rsid w:val="006D7603"/>
    <w:rsid w:val="006E1499"/>
    <w:rsid w:val="006E2C3C"/>
    <w:rsid w:val="006F09C3"/>
    <w:rsid w:val="006F133B"/>
    <w:rsid w:val="006F45BC"/>
    <w:rsid w:val="006F5C76"/>
    <w:rsid w:val="00700E76"/>
    <w:rsid w:val="007128EC"/>
    <w:rsid w:val="00731BAE"/>
    <w:rsid w:val="0073316F"/>
    <w:rsid w:val="0074239C"/>
    <w:rsid w:val="00743BD5"/>
    <w:rsid w:val="00747F9B"/>
    <w:rsid w:val="0075035C"/>
    <w:rsid w:val="00750BD5"/>
    <w:rsid w:val="00753A7B"/>
    <w:rsid w:val="00754772"/>
    <w:rsid w:val="00763917"/>
    <w:rsid w:val="00767D32"/>
    <w:rsid w:val="00770F9D"/>
    <w:rsid w:val="00791139"/>
    <w:rsid w:val="00794005"/>
    <w:rsid w:val="00796C4B"/>
    <w:rsid w:val="00797194"/>
    <w:rsid w:val="007A587E"/>
    <w:rsid w:val="007A6198"/>
    <w:rsid w:val="007B4016"/>
    <w:rsid w:val="007B5D4C"/>
    <w:rsid w:val="007B60F1"/>
    <w:rsid w:val="007B6A0F"/>
    <w:rsid w:val="007D0332"/>
    <w:rsid w:val="007D36C8"/>
    <w:rsid w:val="007D464F"/>
    <w:rsid w:val="007D546A"/>
    <w:rsid w:val="007D629A"/>
    <w:rsid w:val="007D6579"/>
    <w:rsid w:val="007F41BC"/>
    <w:rsid w:val="008162D4"/>
    <w:rsid w:val="00820B8C"/>
    <w:rsid w:val="0082144C"/>
    <w:rsid w:val="00831795"/>
    <w:rsid w:val="0083434E"/>
    <w:rsid w:val="00841B6F"/>
    <w:rsid w:val="00843438"/>
    <w:rsid w:val="00846D44"/>
    <w:rsid w:val="00861621"/>
    <w:rsid w:val="008639A5"/>
    <w:rsid w:val="0086666F"/>
    <w:rsid w:val="00866855"/>
    <w:rsid w:val="0088040B"/>
    <w:rsid w:val="00882AF0"/>
    <w:rsid w:val="008957AB"/>
    <w:rsid w:val="008B0437"/>
    <w:rsid w:val="008B0774"/>
    <w:rsid w:val="008B3E47"/>
    <w:rsid w:val="008B4335"/>
    <w:rsid w:val="008B677A"/>
    <w:rsid w:val="008C3294"/>
    <w:rsid w:val="008C7B11"/>
    <w:rsid w:val="008D094A"/>
    <w:rsid w:val="008D576B"/>
    <w:rsid w:val="008E26BA"/>
    <w:rsid w:val="008F2D28"/>
    <w:rsid w:val="008F44E5"/>
    <w:rsid w:val="008F76FF"/>
    <w:rsid w:val="00906785"/>
    <w:rsid w:val="009130A2"/>
    <w:rsid w:val="0091763E"/>
    <w:rsid w:val="009176FF"/>
    <w:rsid w:val="00925FBB"/>
    <w:rsid w:val="00926F93"/>
    <w:rsid w:val="009300C3"/>
    <w:rsid w:val="0093051A"/>
    <w:rsid w:val="009451F8"/>
    <w:rsid w:val="009457F5"/>
    <w:rsid w:val="00947289"/>
    <w:rsid w:val="0095332F"/>
    <w:rsid w:val="00953B70"/>
    <w:rsid w:val="00955582"/>
    <w:rsid w:val="00956FE3"/>
    <w:rsid w:val="00957CF2"/>
    <w:rsid w:val="00960131"/>
    <w:rsid w:val="00961271"/>
    <w:rsid w:val="009613B8"/>
    <w:rsid w:val="00967BE1"/>
    <w:rsid w:val="00980532"/>
    <w:rsid w:val="00982B91"/>
    <w:rsid w:val="00990335"/>
    <w:rsid w:val="0099163A"/>
    <w:rsid w:val="0099291C"/>
    <w:rsid w:val="009942B7"/>
    <w:rsid w:val="00996938"/>
    <w:rsid w:val="009A24B0"/>
    <w:rsid w:val="009A7DBE"/>
    <w:rsid w:val="009B5019"/>
    <w:rsid w:val="009C0468"/>
    <w:rsid w:val="009D6945"/>
    <w:rsid w:val="009D7116"/>
    <w:rsid w:val="00A0018F"/>
    <w:rsid w:val="00A01122"/>
    <w:rsid w:val="00A02E79"/>
    <w:rsid w:val="00A11AAE"/>
    <w:rsid w:val="00A11E67"/>
    <w:rsid w:val="00A20328"/>
    <w:rsid w:val="00A26F78"/>
    <w:rsid w:val="00A277A2"/>
    <w:rsid w:val="00A27A50"/>
    <w:rsid w:val="00A3390F"/>
    <w:rsid w:val="00A34551"/>
    <w:rsid w:val="00A356C9"/>
    <w:rsid w:val="00A370AA"/>
    <w:rsid w:val="00A47470"/>
    <w:rsid w:val="00A55A00"/>
    <w:rsid w:val="00A6028A"/>
    <w:rsid w:val="00A61282"/>
    <w:rsid w:val="00A65D2C"/>
    <w:rsid w:val="00A673F6"/>
    <w:rsid w:val="00A75158"/>
    <w:rsid w:val="00A76166"/>
    <w:rsid w:val="00A8356F"/>
    <w:rsid w:val="00A958AF"/>
    <w:rsid w:val="00A972E3"/>
    <w:rsid w:val="00AA080E"/>
    <w:rsid w:val="00AA2A20"/>
    <w:rsid w:val="00AB4E69"/>
    <w:rsid w:val="00AC332E"/>
    <w:rsid w:val="00AC4639"/>
    <w:rsid w:val="00AD11C4"/>
    <w:rsid w:val="00AD1D22"/>
    <w:rsid w:val="00AE0EB9"/>
    <w:rsid w:val="00AE14F3"/>
    <w:rsid w:val="00AE2055"/>
    <w:rsid w:val="00AF0008"/>
    <w:rsid w:val="00AF6D0C"/>
    <w:rsid w:val="00AF7D63"/>
    <w:rsid w:val="00B017D5"/>
    <w:rsid w:val="00B15918"/>
    <w:rsid w:val="00B15DA7"/>
    <w:rsid w:val="00B2390A"/>
    <w:rsid w:val="00B246BD"/>
    <w:rsid w:val="00B30709"/>
    <w:rsid w:val="00B31DF7"/>
    <w:rsid w:val="00B33168"/>
    <w:rsid w:val="00B3450B"/>
    <w:rsid w:val="00B34A7E"/>
    <w:rsid w:val="00B3750A"/>
    <w:rsid w:val="00B3789A"/>
    <w:rsid w:val="00B40A14"/>
    <w:rsid w:val="00B47839"/>
    <w:rsid w:val="00B54B85"/>
    <w:rsid w:val="00B5551D"/>
    <w:rsid w:val="00B55577"/>
    <w:rsid w:val="00B57261"/>
    <w:rsid w:val="00B661FA"/>
    <w:rsid w:val="00B71A67"/>
    <w:rsid w:val="00B720C5"/>
    <w:rsid w:val="00B74B6B"/>
    <w:rsid w:val="00B770DF"/>
    <w:rsid w:val="00B8116C"/>
    <w:rsid w:val="00B92824"/>
    <w:rsid w:val="00B9287F"/>
    <w:rsid w:val="00B94F3C"/>
    <w:rsid w:val="00B950C3"/>
    <w:rsid w:val="00BA088E"/>
    <w:rsid w:val="00BA6CB3"/>
    <w:rsid w:val="00BB25E6"/>
    <w:rsid w:val="00BC1C3D"/>
    <w:rsid w:val="00BC565D"/>
    <w:rsid w:val="00BC764B"/>
    <w:rsid w:val="00BD12A6"/>
    <w:rsid w:val="00BD4498"/>
    <w:rsid w:val="00BD5B78"/>
    <w:rsid w:val="00BD61AF"/>
    <w:rsid w:val="00BD7341"/>
    <w:rsid w:val="00BE10E1"/>
    <w:rsid w:val="00BE1696"/>
    <w:rsid w:val="00BE2410"/>
    <w:rsid w:val="00BF030C"/>
    <w:rsid w:val="00C010B6"/>
    <w:rsid w:val="00C0301F"/>
    <w:rsid w:val="00C06BCA"/>
    <w:rsid w:val="00C118D4"/>
    <w:rsid w:val="00C217CD"/>
    <w:rsid w:val="00C224DB"/>
    <w:rsid w:val="00C30B0C"/>
    <w:rsid w:val="00C34102"/>
    <w:rsid w:val="00C52F62"/>
    <w:rsid w:val="00C567CC"/>
    <w:rsid w:val="00C57743"/>
    <w:rsid w:val="00C5794A"/>
    <w:rsid w:val="00C610CF"/>
    <w:rsid w:val="00C64DCB"/>
    <w:rsid w:val="00C710F4"/>
    <w:rsid w:val="00C91EE3"/>
    <w:rsid w:val="00C938F3"/>
    <w:rsid w:val="00C968BA"/>
    <w:rsid w:val="00C97A90"/>
    <w:rsid w:val="00CB06E9"/>
    <w:rsid w:val="00CB0CEE"/>
    <w:rsid w:val="00CC0277"/>
    <w:rsid w:val="00CC22A5"/>
    <w:rsid w:val="00CC7B60"/>
    <w:rsid w:val="00CD0119"/>
    <w:rsid w:val="00CD4605"/>
    <w:rsid w:val="00CD4A57"/>
    <w:rsid w:val="00CD501E"/>
    <w:rsid w:val="00CD7671"/>
    <w:rsid w:val="00CE138C"/>
    <w:rsid w:val="00CF2AFA"/>
    <w:rsid w:val="00CF52E1"/>
    <w:rsid w:val="00CF5469"/>
    <w:rsid w:val="00CF7A7B"/>
    <w:rsid w:val="00D00486"/>
    <w:rsid w:val="00D02106"/>
    <w:rsid w:val="00D050F9"/>
    <w:rsid w:val="00D05DC3"/>
    <w:rsid w:val="00D077CC"/>
    <w:rsid w:val="00D10156"/>
    <w:rsid w:val="00D12BFB"/>
    <w:rsid w:val="00D20C74"/>
    <w:rsid w:val="00D22C88"/>
    <w:rsid w:val="00D2359E"/>
    <w:rsid w:val="00D2440D"/>
    <w:rsid w:val="00D31EFC"/>
    <w:rsid w:val="00D456C8"/>
    <w:rsid w:val="00D50EE8"/>
    <w:rsid w:val="00D56E2F"/>
    <w:rsid w:val="00D64400"/>
    <w:rsid w:val="00D64BCD"/>
    <w:rsid w:val="00D70574"/>
    <w:rsid w:val="00D7386A"/>
    <w:rsid w:val="00D73F83"/>
    <w:rsid w:val="00D753F4"/>
    <w:rsid w:val="00D76F78"/>
    <w:rsid w:val="00D805FC"/>
    <w:rsid w:val="00D91C61"/>
    <w:rsid w:val="00D97516"/>
    <w:rsid w:val="00DA2E57"/>
    <w:rsid w:val="00DA33CA"/>
    <w:rsid w:val="00DA6824"/>
    <w:rsid w:val="00DA7712"/>
    <w:rsid w:val="00DB1F8D"/>
    <w:rsid w:val="00DB4453"/>
    <w:rsid w:val="00DB653C"/>
    <w:rsid w:val="00DE1DE8"/>
    <w:rsid w:val="00DE73AD"/>
    <w:rsid w:val="00DE7B0B"/>
    <w:rsid w:val="00DF61CE"/>
    <w:rsid w:val="00DF6C33"/>
    <w:rsid w:val="00E018EE"/>
    <w:rsid w:val="00E05668"/>
    <w:rsid w:val="00E067BF"/>
    <w:rsid w:val="00E105B7"/>
    <w:rsid w:val="00E10D28"/>
    <w:rsid w:val="00E13609"/>
    <w:rsid w:val="00E265DF"/>
    <w:rsid w:val="00E26FB9"/>
    <w:rsid w:val="00E307E1"/>
    <w:rsid w:val="00E32722"/>
    <w:rsid w:val="00E331BB"/>
    <w:rsid w:val="00E42DE8"/>
    <w:rsid w:val="00E46FFE"/>
    <w:rsid w:val="00E51D88"/>
    <w:rsid w:val="00E52C25"/>
    <w:rsid w:val="00E53D5C"/>
    <w:rsid w:val="00E53E2D"/>
    <w:rsid w:val="00E5401B"/>
    <w:rsid w:val="00E5636E"/>
    <w:rsid w:val="00E5736E"/>
    <w:rsid w:val="00E57C39"/>
    <w:rsid w:val="00E6069D"/>
    <w:rsid w:val="00E62D16"/>
    <w:rsid w:val="00E630F7"/>
    <w:rsid w:val="00E6380E"/>
    <w:rsid w:val="00E64EC4"/>
    <w:rsid w:val="00E6764C"/>
    <w:rsid w:val="00E80C5B"/>
    <w:rsid w:val="00E8709F"/>
    <w:rsid w:val="00E91F6E"/>
    <w:rsid w:val="00E92946"/>
    <w:rsid w:val="00E95715"/>
    <w:rsid w:val="00EA0782"/>
    <w:rsid w:val="00EA184D"/>
    <w:rsid w:val="00EA6F68"/>
    <w:rsid w:val="00EB1B73"/>
    <w:rsid w:val="00EB1F05"/>
    <w:rsid w:val="00EB3EC9"/>
    <w:rsid w:val="00EB6F00"/>
    <w:rsid w:val="00EC43F1"/>
    <w:rsid w:val="00EC6DD6"/>
    <w:rsid w:val="00ED03F2"/>
    <w:rsid w:val="00ED162F"/>
    <w:rsid w:val="00F02E15"/>
    <w:rsid w:val="00F1019D"/>
    <w:rsid w:val="00F118A4"/>
    <w:rsid w:val="00F15B06"/>
    <w:rsid w:val="00F17395"/>
    <w:rsid w:val="00F17FEF"/>
    <w:rsid w:val="00F21728"/>
    <w:rsid w:val="00F2185E"/>
    <w:rsid w:val="00F23263"/>
    <w:rsid w:val="00F24C93"/>
    <w:rsid w:val="00F349F7"/>
    <w:rsid w:val="00F417FE"/>
    <w:rsid w:val="00F4202F"/>
    <w:rsid w:val="00F56EEB"/>
    <w:rsid w:val="00F6767A"/>
    <w:rsid w:val="00F8013C"/>
    <w:rsid w:val="00F815E2"/>
    <w:rsid w:val="00F83A9A"/>
    <w:rsid w:val="00F929C3"/>
    <w:rsid w:val="00F975E2"/>
    <w:rsid w:val="00FA1489"/>
    <w:rsid w:val="00FB4F87"/>
    <w:rsid w:val="00FC6AC2"/>
    <w:rsid w:val="00FD007C"/>
    <w:rsid w:val="00FD0366"/>
    <w:rsid w:val="00FE448C"/>
    <w:rsid w:val="00FE49D6"/>
    <w:rsid w:val="00FE5AF2"/>
    <w:rsid w:val="00FF56E9"/>
    <w:rsid w:val="00FF7B4A"/>
    <w:rsid w:val="07A9B374"/>
    <w:rsid w:val="09E0B285"/>
    <w:rsid w:val="09F9BB87"/>
    <w:rsid w:val="0B5977A5"/>
    <w:rsid w:val="0CC95545"/>
    <w:rsid w:val="0D3882E9"/>
    <w:rsid w:val="156ACF9A"/>
    <w:rsid w:val="16B31FE9"/>
    <w:rsid w:val="1B2217FC"/>
    <w:rsid w:val="1B3F8824"/>
    <w:rsid w:val="219CFCE3"/>
    <w:rsid w:val="25A1A199"/>
    <w:rsid w:val="291534EF"/>
    <w:rsid w:val="2F7E022C"/>
    <w:rsid w:val="30091CA7"/>
    <w:rsid w:val="310CC8B6"/>
    <w:rsid w:val="405AEBC4"/>
    <w:rsid w:val="413168BD"/>
    <w:rsid w:val="45033D7B"/>
    <w:rsid w:val="49DB06C1"/>
    <w:rsid w:val="4EE3DEE7"/>
    <w:rsid w:val="56E91227"/>
    <w:rsid w:val="6048F8A6"/>
    <w:rsid w:val="64DCFDAC"/>
    <w:rsid w:val="6586A570"/>
    <w:rsid w:val="69381F14"/>
    <w:rsid w:val="6D53AF26"/>
    <w:rsid w:val="6D7878E4"/>
    <w:rsid w:val="6E602C5F"/>
    <w:rsid w:val="70C7569A"/>
    <w:rsid w:val="710844C6"/>
    <w:rsid w:val="77D00AF3"/>
    <w:rsid w:val="77FD1FF8"/>
    <w:rsid w:val="7936BCBB"/>
    <w:rsid w:val="7A568671"/>
    <w:rsid w:val="7EDCF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1A993"/>
  <w15:chartTrackingRefBased/>
  <w15:docId w15:val="{7BB3A385-B577-4E00-A544-FCAE67FB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90F"/>
  </w:style>
  <w:style w:type="paragraph" w:styleId="Footer">
    <w:name w:val="footer"/>
    <w:basedOn w:val="Normal"/>
    <w:link w:val="FooterChar"/>
    <w:uiPriority w:val="99"/>
    <w:unhideWhenUsed/>
    <w:rsid w:val="00A33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90F"/>
  </w:style>
  <w:style w:type="paragraph" w:customStyle="1" w:styleId="paragraph">
    <w:name w:val="paragraph"/>
    <w:basedOn w:val="Normal"/>
    <w:rsid w:val="00956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56FE3"/>
  </w:style>
  <w:style w:type="character" w:customStyle="1" w:styleId="eop">
    <w:name w:val="eop"/>
    <w:basedOn w:val="DefaultParagraphFont"/>
    <w:rsid w:val="00956FE3"/>
  </w:style>
  <w:style w:type="paragraph" w:styleId="BalloonText">
    <w:name w:val="Balloon Text"/>
    <w:basedOn w:val="Normal"/>
    <w:link w:val="BalloonTextChar"/>
    <w:uiPriority w:val="99"/>
    <w:semiHidden/>
    <w:unhideWhenUsed/>
    <w:rsid w:val="0099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1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3C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C30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rsid w:val="005A2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29E3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55A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F118A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A0DC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DCA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DC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msonormal">
    <w:name w:val="x_msonormal"/>
    <w:basedOn w:val="Normal"/>
    <w:rsid w:val="003D6DE2"/>
    <w:pPr>
      <w:spacing w:after="0" w:line="240" w:lineRule="auto"/>
    </w:pPr>
    <w:rPr>
      <w:rFonts w:ascii="Aptos" w:eastAsiaTheme="minorEastAsia" w:hAnsi="Aptos" w:cs="Calibri"/>
      <w:sz w:val="20"/>
      <w:szCs w:val="20"/>
      <w:lang w:eastAsia="ja-JP"/>
    </w:rPr>
  </w:style>
  <w:style w:type="character" w:styleId="Strong">
    <w:name w:val="Strong"/>
    <w:basedOn w:val="DefaultParagraphFont"/>
    <w:uiPriority w:val="22"/>
    <w:qFormat/>
    <w:rsid w:val="00D805F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745DB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B739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nfo.nsf.org/usda/psnclistings.asp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iehs.nih.gov/health/topics/agents/pfc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sf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sf.org/food-beverage/commercial-food-equipment/nsf-537-pfas-free-certification-nonfood-compounds-food-equipment-materials?utm_campaign=fr_nfc_cert_global_202503_pr_pfasfree&amp;utm_source=co_marketing&amp;utm_medium=press_release" TargetMode="External"/><Relationship Id="rId10" Type="http://schemas.openxmlformats.org/officeDocument/2006/relationships/hyperlink" Target="mailto:media@nsf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nfo.nsf.org/Certified/Foo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d8c5b-8734-430d-bb79-f2713a2cafdf" xsi:nil="true"/>
    <lcf76f155ced4ddcb4097134ff3c332f xmlns="119e3e18-5fb1-410f-96d1-6d6fae7a4b4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FAFE3B8CD6241BD6F260DED3959FE" ma:contentTypeVersion="20" ma:contentTypeDescription="Create a new document." ma:contentTypeScope="" ma:versionID="e567d2c62672607d4649fc187507d9a1">
  <xsd:schema xmlns:xsd="http://www.w3.org/2001/XMLSchema" xmlns:xs="http://www.w3.org/2001/XMLSchema" xmlns:p="http://schemas.microsoft.com/office/2006/metadata/properties" xmlns:ns2="119e3e18-5fb1-410f-96d1-6d6fae7a4b41" xmlns:ns3="b1ad8c5b-8734-430d-bb79-f2713a2cafdf" targetNamespace="http://schemas.microsoft.com/office/2006/metadata/properties" ma:root="true" ma:fieldsID="f1d53601de7674a29a0f0a5db10c2077" ns2:_="" ns3:_="">
    <xsd:import namespace="119e3e18-5fb1-410f-96d1-6d6fae7a4b41"/>
    <xsd:import namespace="b1ad8c5b-8734-430d-bb79-f2713a2ca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e3e18-5fb1-410f-96d1-6d6fae7a4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523e4c4-411f-42ba-9d13-9bac6b749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d8c5b-8734-430d-bb79-f2713a2ca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5315c4-840c-4da0-9263-bd3cf7d3eb8f}" ma:internalName="TaxCatchAll" ma:showField="CatchAllData" ma:web="b1ad8c5b-8734-430d-bb79-f2713a2ca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78864-5BFB-43FF-B6DC-75908656960C}">
  <ds:schemaRefs>
    <ds:schemaRef ds:uri="http://schemas.microsoft.com/office/2006/metadata/properties"/>
    <ds:schemaRef ds:uri="http://schemas.microsoft.com/office/infopath/2007/PartnerControls"/>
    <ds:schemaRef ds:uri="b1ad8c5b-8734-430d-bb79-f2713a2cafdf"/>
    <ds:schemaRef ds:uri="119e3e18-5fb1-410f-96d1-6d6fae7a4b41"/>
  </ds:schemaRefs>
</ds:datastoreItem>
</file>

<file path=customXml/itemProps2.xml><?xml version="1.0" encoding="utf-8"?>
<ds:datastoreItem xmlns:ds="http://schemas.openxmlformats.org/officeDocument/2006/customXml" ds:itemID="{8D07D3B0-26B4-4E19-AAD3-0B1CF04F1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9e3e18-5fb1-410f-96d1-6d6fae7a4b41"/>
    <ds:schemaRef ds:uri="b1ad8c5b-8734-430d-bb79-f2713a2ca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4D46A6-2005-417B-81F4-54D294553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2</Pages>
  <Words>723</Words>
  <Characters>4500</Characters>
  <Application>Microsoft Office Word</Application>
  <DocSecurity>0</DocSecurity>
  <Lines>86</Lines>
  <Paragraphs>29</Paragraphs>
  <ScaleCrop>false</ScaleCrop>
  <Company>NSF International</Company>
  <LinksUpToDate>false</LinksUpToDate>
  <CharactersWithSpaces>5194</CharactersWithSpaces>
  <SharedDoc>false</SharedDoc>
  <HLinks>
    <vt:vector size="72" baseType="variant">
      <vt:variant>
        <vt:i4>4718656</vt:i4>
      </vt:variant>
      <vt:variant>
        <vt:i4>18</vt:i4>
      </vt:variant>
      <vt:variant>
        <vt:i4>0</vt:i4>
      </vt:variant>
      <vt:variant>
        <vt:i4>5</vt:i4>
      </vt:variant>
      <vt:variant>
        <vt:lpwstr>https://www.nsf.org/</vt:lpwstr>
      </vt:variant>
      <vt:variant>
        <vt:lpwstr/>
      </vt:variant>
      <vt:variant>
        <vt:i4>4063337</vt:i4>
      </vt:variant>
      <vt:variant>
        <vt:i4>15</vt:i4>
      </vt:variant>
      <vt:variant>
        <vt:i4>0</vt:i4>
      </vt:variant>
      <vt:variant>
        <vt:i4>5</vt:i4>
      </vt:variant>
      <vt:variant>
        <vt:lpwstr>https://nam12.safelinks.protection.outlook.com/?url=https%3A%2F%2Fwww.nsf.org%2Ffood-beverage%2Fcommercial-food-equipment%2Fnsf-537-pfas-free-certification-nonfood-compounds-food-equipment-materials&amp;data=05%7C02%7Caoto%40nsf.org%7C525b6512dc674b33eb5508dd679b3f74%7C400696bb3ef544edb838ceb5afd17d90%7C0%7C0%7C638780638709222628%7CUnknown%7CTWFpbGZsb3d8eyJFbXB0eU1hcGkiOnRydWUsIlYiOiIwLjAuMDAwMCIsIlAiOiJXaW4zMiIsIkFOIjoiTWFpbCIsIldUIjoyfQ%3D%3D%7C0%7C%7C%7C&amp;sdata=htaqarj7AxgShYO5zvwQZK1m8AJHrpZSOpkBwfpzne4%3D&amp;reserved=0</vt:lpwstr>
      </vt:variant>
      <vt:variant>
        <vt:lpwstr/>
      </vt:variant>
      <vt:variant>
        <vt:i4>4390999</vt:i4>
      </vt:variant>
      <vt:variant>
        <vt:i4>12</vt:i4>
      </vt:variant>
      <vt:variant>
        <vt:i4>0</vt:i4>
      </vt:variant>
      <vt:variant>
        <vt:i4>5</vt:i4>
      </vt:variant>
      <vt:variant>
        <vt:lpwstr>https://info.nsf.org/Certified/Food/</vt:lpwstr>
      </vt:variant>
      <vt:variant>
        <vt:lpwstr/>
      </vt:variant>
      <vt:variant>
        <vt:i4>3080225</vt:i4>
      </vt:variant>
      <vt:variant>
        <vt:i4>9</vt:i4>
      </vt:variant>
      <vt:variant>
        <vt:i4>0</vt:i4>
      </vt:variant>
      <vt:variant>
        <vt:i4>5</vt:i4>
      </vt:variant>
      <vt:variant>
        <vt:lpwstr>https://info.nsf.org/usda/psnclistings.asp</vt:lpwstr>
      </vt:variant>
      <vt:variant>
        <vt:lpwstr/>
      </vt:variant>
      <vt:variant>
        <vt:i4>2097201</vt:i4>
      </vt:variant>
      <vt:variant>
        <vt:i4>6</vt:i4>
      </vt:variant>
      <vt:variant>
        <vt:i4>0</vt:i4>
      </vt:variant>
      <vt:variant>
        <vt:i4>5</vt:i4>
      </vt:variant>
      <vt:variant>
        <vt:lpwstr>https://www.niehs.nih.gov/health/topics/agents/pfc</vt:lpwstr>
      </vt:variant>
      <vt:variant>
        <vt:lpwstr/>
      </vt:variant>
      <vt:variant>
        <vt:i4>4718656</vt:i4>
      </vt:variant>
      <vt:variant>
        <vt:i4>3</vt:i4>
      </vt:variant>
      <vt:variant>
        <vt:i4>0</vt:i4>
      </vt:variant>
      <vt:variant>
        <vt:i4>5</vt:i4>
      </vt:variant>
      <vt:variant>
        <vt:lpwstr>https://www.nsf.org/</vt:lpwstr>
      </vt:variant>
      <vt:variant>
        <vt:lpwstr/>
      </vt:variant>
      <vt:variant>
        <vt:i4>655401</vt:i4>
      </vt:variant>
      <vt:variant>
        <vt:i4>0</vt:i4>
      </vt:variant>
      <vt:variant>
        <vt:i4>0</vt:i4>
      </vt:variant>
      <vt:variant>
        <vt:i4>5</vt:i4>
      </vt:variant>
      <vt:variant>
        <vt:lpwstr>mailto:media@nsf.org</vt:lpwstr>
      </vt:variant>
      <vt:variant>
        <vt:lpwstr/>
      </vt:variant>
      <vt:variant>
        <vt:i4>1769514</vt:i4>
      </vt:variant>
      <vt:variant>
        <vt:i4>12</vt:i4>
      </vt:variant>
      <vt:variant>
        <vt:i4>0</vt:i4>
      </vt:variant>
      <vt:variant>
        <vt:i4>5</vt:i4>
      </vt:variant>
      <vt:variant>
        <vt:lpwstr>mailto:scole@nsf.org</vt:lpwstr>
      </vt:variant>
      <vt:variant>
        <vt:lpwstr/>
      </vt:variant>
      <vt:variant>
        <vt:i4>7012428</vt:i4>
      </vt:variant>
      <vt:variant>
        <vt:i4>9</vt:i4>
      </vt:variant>
      <vt:variant>
        <vt:i4>0</vt:i4>
      </vt:variant>
      <vt:variant>
        <vt:i4>5</vt:i4>
      </vt:variant>
      <vt:variant>
        <vt:lpwstr>mailto:cbroady@nsf.org</vt:lpwstr>
      </vt:variant>
      <vt:variant>
        <vt:lpwstr/>
      </vt:variant>
      <vt:variant>
        <vt:i4>1572909</vt:i4>
      </vt:variant>
      <vt:variant>
        <vt:i4>6</vt:i4>
      </vt:variant>
      <vt:variant>
        <vt:i4>0</vt:i4>
      </vt:variant>
      <vt:variant>
        <vt:i4>5</vt:i4>
      </vt:variant>
      <vt:variant>
        <vt:lpwstr>mailto:aoto@nsf.org</vt:lpwstr>
      </vt:variant>
      <vt:variant>
        <vt:lpwstr/>
      </vt:variant>
      <vt:variant>
        <vt:i4>1572909</vt:i4>
      </vt:variant>
      <vt:variant>
        <vt:i4>3</vt:i4>
      </vt:variant>
      <vt:variant>
        <vt:i4>0</vt:i4>
      </vt:variant>
      <vt:variant>
        <vt:i4>5</vt:i4>
      </vt:variant>
      <vt:variant>
        <vt:lpwstr>mailto:aoto@nsf.org</vt:lpwstr>
      </vt:variant>
      <vt:variant>
        <vt:lpwstr/>
      </vt:variant>
      <vt:variant>
        <vt:i4>7012428</vt:i4>
      </vt:variant>
      <vt:variant>
        <vt:i4>0</vt:i4>
      </vt:variant>
      <vt:variant>
        <vt:i4>0</vt:i4>
      </vt:variant>
      <vt:variant>
        <vt:i4>5</vt:i4>
      </vt:variant>
      <vt:variant>
        <vt:lpwstr>mailto:cbroady@nsf.org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MacEwan</dc:creator>
  <cp:keywords/>
  <dc:description/>
  <cp:lastModifiedBy>Steven MacEwan</cp:lastModifiedBy>
  <cp:revision>11</cp:revision>
  <dcterms:created xsi:type="dcterms:W3CDTF">2025-03-24T17:02:00Z</dcterms:created>
  <dcterms:modified xsi:type="dcterms:W3CDTF">2025-03-25T15:00:00Z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b518dc-1afa-45e0-aaef-f556f62dbfcd_Enabled">
    <vt:lpwstr>true</vt:lpwstr>
  </property>
  <property fmtid="{D5CDD505-2E9C-101B-9397-08002B2CF9AE}" pid="3" name="MSIP_Label_26b518dc-1afa-45e0-aaef-f556f62dbfcd_SetDate">
    <vt:lpwstr>2022-07-07T15:32:47Z</vt:lpwstr>
  </property>
  <property fmtid="{D5CDD505-2E9C-101B-9397-08002B2CF9AE}" pid="4" name="MSIP_Label_26b518dc-1afa-45e0-aaef-f556f62dbfcd_Method">
    <vt:lpwstr>Standard</vt:lpwstr>
  </property>
  <property fmtid="{D5CDD505-2E9C-101B-9397-08002B2CF9AE}" pid="5" name="MSIP_Label_26b518dc-1afa-45e0-aaef-f556f62dbfcd_Name">
    <vt:lpwstr>All-Audiences_Confidential-PROD</vt:lpwstr>
  </property>
  <property fmtid="{D5CDD505-2E9C-101B-9397-08002B2CF9AE}" pid="6" name="MSIP_Label_26b518dc-1afa-45e0-aaef-f556f62dbfcd_SiteId">
    <vt:lpwstr>400696bb-3ef5-44ed-b838-ceb5afd17d90</vt:lpwstr>
  </property>
  <property fmtid="{D5CDD505-2E9C-101B-9397-08002B2CF9AE}" pid="7" name="MSIP_Label_26b518dc-1afa-45e0-aaef-f556f62dbfcd_ActionId">
    <vt:lpwstr>351c20fe-2670-42b0-86db-9ea9350fdecf</vt:lpwstr>
  </property>
  <property fmtid="{D5CDD505-2E9C-101B-9397-08002B2CF9AE}" pid="8" name="MSIP_Label_26b518dc-1afa-45e0-aaef-f556f62dbfcd_ContentBits">
    <vt:lpwstr>2</vt:lpwstr>
  </property>
  <property fmtid="{D5CDD505-2E9C-101B-9397-08002B2CF9AE}" pid="9" name="ContentTypeId">
    <vt:lpwstr>0x0101002B9FAFE3B8CD6241BD6F260DED3959FE</vt:lpwstr>
  </property>
  <property fmtid="{D5CDD505-2E9C-101B-9397-08002B2CF9AE}" pid="10" name="MediaServiceImageTags">
    <vt:lpwstr/>
  </property>
  <property fmtid="{D5CDD505-2E9C-101B-9397-08002B2CF9AE}" pid="11" name="GrammarlyDocumentId">
    <vt:lpwstr>9161f745dedb53796ab68275bdda81f8c9a21a3fecd0b1d60971ece1f7c615aa</vt:lpwstr>
  </property>
</Properties>
</file>